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  <w:lang w:val="fr-FR"/>
        </w:rPr>
      </w:pPr>
      <w:bookmarkStart w:id="0" w:name="_GoBack"/>
      <w:bookmarkEnd w:id="0"/>
      <w:r>
        <w:rPr>
          <w:b/>
          <w:i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33655</wp:posOffset>
            </wp:positionV>
            <wp:extent cx="823595" cy="1287145"/>
            <wp:effectExtent l="0" t="0" r="14605" b="8255"/>
            <wp:wrapNone/>
            <wp:docPr id="23" name="Picture 23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-900"/>
        <w:jc w:val="center"/>
        <w:rPr>
          <w:b/>
          <w:i/>
          <w:sz w:val="28"/>
          <w:szCs w:val="28"/>
          <w:lang w:val="pt-BR" w:eastAsia="en-US"/>
        </w:rPr>
      </w:pP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122555</wp:posOffset>
            </wp:positionV>
            <wp:extent cx="1188085" cy="800100"/>
            <wp:effectExtent l="0" t="0" r="0" b="12065"/>
            <wp:wrapNone/>
            <wp:docPr id="24" name="Picture 24" descr="http://dli.ro/wp-content/uploads/2011/08/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http://dli.ro/wp-content/uploads/2011/08/u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8189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  <w:lang w:val="pt-BR" w:eastAsia="en-US"/>
        </w:rPr>
        <w:t xml:space="preserve">- </w:t>
      </w:r>
      <w:r>
        <w:rPr>
          <w:b/>
          <w:sz w:val="28"/>
          <w:szCs w:val="28"/>
          <w:lang w:val="pt-BR" w:eastAsia="en-US"/>
        </w:rPr>
        <w:t>CONSILIUL  LOCAL</w:t>
      </w:r>
      <w:r>
        <w:rPr>
          <w:b/>
          <w:i/>
          <w:sz w:val="28"/>
          <w:szCs w:val="28"/>
          <w:lang w:val="pt-BR" w:eastAsia="en-US"/>
        </w:rPr>
        <w:t xml:space="preserve"> -</w:t>
      </w:r>
    </w:p>
    <w:p>
      <w:pPr>
        <w:ind w:right="-900"/>
        <w:jc w:val="center"/>
        <w:rPr>
          <w:b/>
          <w:i/>
          <w:sz w:val="28"/>
          <w:szCs w:val="28"/>
          <w:lang w:val="pt-BR" w:eastAsia="en-US"/>
        </w:rPr>
      </w:pPr>
      <w:r>
        <w:rPr>
          <w:b/>
          <w:i/>
          <w:sz w:val="28"/>
          <w:szCs w:val="28"/>
          <w:lang w:val="pt-BR" w:eastAsia="en-US"/>
        </w:rPr>
        <w:t>Comuna Grădiştea, Judeţul Vîlcea</w:t>
      </w:r>
    </w:p>
    <w:p>
      <w:pPr>
        <w:ind w:right="-900"/>
        <w:jc w:val="center"/>
        <w:rPr>
          <w:b/>
          <w:i/>
          <w:sz w:val="28"/>
          <w:szCs w:val="28"/>
          <w:lang w:val="fr-FR" w:eastAsia="en-US"/>
        </w:rPr>
      </w:pPr>
      <w:r>
        <w:rPr>
          <w:b/>
          <w:i/>
          <w:sz w:val="28"/>
          <w:szCs w:val="28"/>
          <w:lang w:val="fr-FR" w:eastAsia="en-US"/>
        </w:rPr>
        <w:t>Tel:0250/867072 ; Tel/ Fax : 0250/867009</w:t>
      </w:r>
    </w:p>
    <w:p>
      <w:pPr>
        <w:ind w:right="89"/>
        <w:jc w:val="center"/>
        <w:rPr>
          <w:b/>
          <w:i/>
          <w:color w:val="000000"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 xml:space="preserve">              e-mail: </w:t>
      </w:r>
      <w:r>
        <w:rPr>
          <w:b/>
          <w:i/>
          <w:color w:val="000000"/>
          <w:sz w:val="28"/>
          <w:szCs w:val="28"/>
          <w:lang w:val="fr-FR"/>
        </w:rPr>
        <w:t>gradistea@vl.e-adm.ro</w:t>
      </w:r>
    </w:p>
    <w:p>
      <w:pPr>
        <w:ind w:right="-900"/>
        <w:jc w:val="center"/>
        <w:rPr>
          <w:b/>
          <w:color w:val="0563C1" w:themeColor="hyperlink"/>
          <w:sz w:val="28"/>
          <w:szCs w:val="28"/>
          <w:u w:val="single"/>
          <w:lang w:val="fr-FR" w:eastAsia="en-US"/>
          <w14:textFill>
            <w14:solidFill>
              <w14:schemeClr w14:val="hlink"/>
            </w14:solidFill>
          </w14:textFill>
        </w:rPr>
      </w:pPr>
      <w:r>
        <w:fldChar w:fldCharType="begin"/>
      </w:r>
      <w:r>
        <w:instrText xml:space="preserve"> HYPERLINK "http://www.primariagradisteavalcea.ro" </w:instrText>
      </w:r>
      <w:r>
        <w:fldChar w:fldCharType="separate"/>
      </w:r>
      <w:r>
        <w:rPr>
          <w:b/>
          <w:color w:val="0563C1" w:themeColor="hyperlink"/>
          <w:sz w:val="28"/>
          <w:szCs w:val="28"/>
          <w:u w:val="single"/>
          <w:lang w:val="fr-FR" w:eastAsia="en-US"/>
          <w14:textFill>
            <w14:solidFill>
              <w14:schemeClr w14:val="hlink"/>
            </w14:solidFill>
          </w14:textFill>
        </w:rPr>
        <w:t>www.primariagradisteavalcea.ro</w:t>
      </w:r>
      <w:r>
        <w:rPr>
          <w:b/>
          <w:color w:val="0563C1" w:themeColor="hyperlink"/>
          <w:sz w:val="28"/>
          <w:szCs w:val="28"/>
          <w:u w:val="single"/>
          <w:lang w:val="fr-FR" w:eastAsia="en-US"/>
          <w14:textFill>
            <w14:solidFill>
              <w14:schemeClr w14:val="hlink"/>
            </w14:solidFill>
          </w14:textFill>
        </w:rPr>
        <w:fldChar w:fldCharType="end"/>
      </w: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7204075</wp:posOffset>
            </wp:positionH>
            <wp:positionV relativeFrom="paragraph">
              <wp:posOffset>6350</wp:posOffset>
            </wp:positionV>
            <wp:extent cx="1511300" cy="1162050"/>
            <wp:effectExtent l="0" t="0" r="1270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8089900</wp:posOffset>
            </wp:positionH>
            <wp:positionV relativeFrom="paragraph">
              <wp:posOffset>6350</wp:posOffset>
            </wp:positionV>
            <wp:extent cx="800100" cy="10287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i/>
          <w:sz w:val="28"/>
          <w:szCs w:val="28"/>
          <w:lang w:val="pt-BR" w:eastAsia="en-US"/>
        </w:rPr>
      </w:pPr>
      <w:r>
        <w:rPr>
          <w:b/>
          <w:color w:val="000000"/>
          <w:sz w:val="28"/>
          <w:szCs w:val="28"/>
          <w:lang w:val="en-US" w:eastAsia="en-US"/>
        </w:rPr>
        <w:pict>
          <v:shape id="_x0000_i1025" o:spt="75" type="#_x0000_t75" style="height:25.75pt;width:463pt;" filled="f" o:preferrelative="t" stroked="f" coordsize="21600,21600" o:hr="t" o:hrpct="0">
            <v:path/>
            <v:fill on="f" focussize="0,0"/>
            <v:stroke on="f" joinstyle="miter"/>
            <v:imagedata r:id="rId11" o:title="BD14845_"/>
            <o:lock v:ext="edit" aspectratio="t"/>
            <w10:wrap type="none"/>
            <w10:anchorlock/>
          </v:shape>
        </w:pict>
      </w:r>
    </w:p>
    <w:p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HOTĂRÂREA Nr. 27</w:t>
      </w:r>
    </w:p>
    <w:p>
      <w:pPr>
        <w:pStyle w:val="249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PRIVIND: alegerea președintelui de ședință pentru perioada</w:t>
      </w:r>
    </w:p>
    <w:p>
      <w:pPr>
        <w:pStyle w:val="249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august-octombrie 2021</w:t>
      </w:r>
    </w:p>
    <w:p>
      <w:pPr>
        <w:jc w:val="both"/>
        <w:rPr>
          <w:sz w:val="28"/>
          <w:szCs w:val="28"/>
          <w:lang w:val="pt-BR"/>
        </w:rPr>
      </w:pPr>
    </w:p>
    <w:p>
      <w:pPr>
        <w:jc w:val="both"/>
        <w:rPr>
          <w:sz w:val="28"/>
          <w:szCs w:val="28"/>
          <w:lang w:val="fr-FR" w:eastAsia="en-US"/>
        </w:rPr>
      </w:pPr>
      <w:r>
        <w:rPr>
          <w:sz w:val="28"/>
          <w:szCs w:val="28"/>
          <w:lang w:val="fr-FR" w:eastAsia="en-US"/>
        </w:rPr>
        <w:t xml:space="preserve">       Consiliul Local Grădiştea, întrunit în şedința ordinară din data de 30 iulie 2021, la care participă un număr de 10 consilieri din totalul de 11 consilieri în funcţie ;</w:t>
      </w:r>
    </w:p>
    <w:p>
      <w:pPr>
        <w:jc w:val="both"/>
        <w:rPr>
          <w:lang w:val="fr-FR"/>
        </w:rPr>
      </w:pPr>
      <w:r>
        <w:rPr>
          <w:lang w:val="fr-FR"/>
        </w:rPr>
        <w:t xml:space="preserve">         </w:t>
      </w:r>
      <w:r>
        <w:rPr>
          <w:sz w:val="28"/>
          <w:szCs w:val="28"/>
          <w:lang w:val="fr-FR" w:eastAsia="en-GB"/>
        </w:rPr>
        <w:t>Văzând ca potrivit Hotărârii Consiliului Local Grădiștea cu nr. 14/21.04.2021, este ales președinte de ședintă d-nul Dabu Vasile;</w:t>
      </w:r>
    </w:p>
    <w:p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</w:t>
      </w:r>
      <w:r>
        <w:rPr>
          <w:sz w:val="28"/>
          <w:szCs w:val="28"/>
          <w:lang w:val="fr-FR" w:eastAsia="en-US"/>
        </w:rPr>
        <w:t>Luând în dezbatere</w:t>
      </w:r>
      <w:r>
        <w:rPr>
          <w:sz w:val="28"/>
          <w:szCs w:val="28"/>
        </w:rPr>
        <w:t xml:space="preserve"> proiectul de hotărâre, referatul de aprobare al Primarului comunei Grădiștea </w:t>
      </w:r>
      <w:r>
        <w:rPr>
          <w:color w:val="000000"/>
          <w:sz w:val="28"/>
          <w:szCs w:val="28"/>
        </w:rPr>
        <w:t>nr. 4129/16.06.2021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raportul de specialitate al secretarului general al comunei Grădiștea,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înregistrat la nr. 4130/16.06.2021 prin care se aduce la cunostinţă faptul că se impune alegerea unui preşedinte de şedinţă pe o perioada de cel mult 3 luni, în conformitate cu prevederile art. 123 alin. 1 </w:t>
      </w:r>
      <w:r>
        <w:rPr>
          <w:sz w:val="28"/>
          <w:szCs w:val="28"/>
        </w:rPr>
        <w:t xml:space="preserve">din O.U.G. nr. 57/2019 </w:t>
      </w:r>
      <w:r>
        <w:rPr>
          <w:rStyle w:val="92"/>
          <w:b w:val="0"/>
          <w:sz w:val="28"/>
          <w:szCs w:val="28"/>
        </w:rPr>
        <w:t>privind Codul administrativ,</w:t>
      </w:r>
      <w:r>
        <w:rPr>
          <w:rStyle w:val="92"/>
          <w:sz w:val="28"/>
          <w:szCs w:val="28"/>
        </w:rPr>
        <w:t xml:space="preserve"> </w:t>
      </w:r>
      <w:r>
        <w:rPr>
          <w:sz w:val="28"/>
          <w:szCs w:val="28"/>
        </w:rPr>
        <w:t>cu modificările şi completările ulterioare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>
      <w:pPr>
        <w:jc w:val="both"/>
        <w:rPr>
          <w:sz w:val="28"/>
          <w:szCs w:val="28"/>
          <w:lang w:val="fr-FR" w:eastAsia="en-US"/>
        </w:rPr>
      </w:pPr>
      <w:r>
        <w:rPr>
          <w:sz w:val="28"/>
          <w:szCs w:val="28"/>
          <w:lang w:val="fr-FR" w:eastAsia="en-US"/>
        </w:rPr>
        <w:t xml:space="preserve">       Având în vedere </w:t>
      </w:r>
      <w:r>
        <w:rPr>
          <w:sz w:val="28"/>
          <w:szCs w:val="28"/>
          <w:u w:val="single"/>
          <w:lang w:val="fr-FR" w:eastAsia="en-US"/>
        </w:rPr>
        <w:t>rapoartele de avizare ale comisiilor Consiliului Local</w:t>
      </w:r>
      <w:r>
        <w:rPr>
          <w:sz w:val="28"/>
          <w:szCs w:val="28"/>
          <w:lang w:val="fr-FR" w:eastAsia="en-US"/>
        </w:rPr>
        <w:t>, prin care se propune admiterea proiectului de hotărâre;</w:t>
      </w:r>
    </w:p>
    <w:p>
      <w:pPr>
        <w:jc w:val="both"/>
        <w:rPr>
          <w:sz w:val="28"/>
          <w:szCs w:val="28"/>
          <w:lang w:val="fr-FR" w:eastAsia="en-US"/>
        </w:rPr>
      </w:pPr>
      <w:r>
        <w:rPr>
          <w:sz w:val="28"/>
          <w:szCs w:val="28"/>
          <w:lang w:val="fr-FR" w:eastAsia="en-US"/>
        </w:rPr>
        <w:t xml:space="preserve">       Văzând </w:t>
      </w:r>
      <w:r>
        <w:rPr>
          <w:sz w:val="28"/>
          <w:szCs w:val="28"/>
          <w:u w:val="single"/>
          <w:lang w:val="fr-FR" w:eastAsia="en-US"/>
        </w:rPr>
        <w:t>raportul de avizare a legalităţii proiectului de hotărâre</w:t>
      </w:r>
      <w:r>
        <w:rPr>
          <w:sz w:val="28"/>
          <w:szCs w:val="28"/>
          <w:lang w:val="fr-FR" w:eastAsia="en-US"/>
        </w:rPr>
        <w:t>, întocmit de secretarul general al comunei Grădiştea, înregistrat sub nr.4131/16.06.2021;</w:t>
      </w:r>
    </w:p>
    <w:p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fr-FR" w:eastAsia="en-US"/>
        </w:rPr>
        <w:t xml:space="preserve">        </w:t>
      </w:r>
      <w:r>
        <w:rPr>
          <w:sz w:val="28"/>
          <w:szCs w:val="28"/>
          <w:lang w:val="en-US" w:eastAsia="en-US"/>
        </w:rPr>
        <w:t>Respectând procedura Legii nr.52/2002 privind transparenţa decizională în administrația publică, în baza procesului-verbal de afișare nr.4133/16.06.2021;</w:t>
      </w:r>
    </w:p>
    <w:p>
      <w:pPr>
        <w:jc w:val="both"/>
        <w:rPr>
          <w:bCs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>Ţinând seama de prevederile Legii nr. 24/2000 privind normele de tehnică legislativă pentru elaborarea actelor normative, republicată, cu modificările şi completările ulterioare;</w:t>
      </w:r>
    </w:p>
    <w:p>
      <w:pPr>
        <w:pStyle w:val="249"/>
        <w:jc w:val="both"/>
        <w:rPr>
          <w:rFonts w:eastAsia="PMingLiU"/>
          <w:sz w:val="28"/>
          <w:szCs w:val="28"/>
        </w:rPr>
      </w:pPr>
      <w:r>
        <w:rPr>
          <w:sz w:val="28"/>
          <w:szCs w:val="28"/>
          <w:lang w:val="en-US" w:eastAsia="en-US"/>
        </w:rPr>
        <w:t xml:space="preserve">        </w:t>
      </w:r>
      <w:r>
        <w:rPr>
          <w:bCs/>
          <w:color w:val="000000"/>
          <w:sz w:val="28"/>
          <w:szCs w:val="28"/>
          <w:lang w:eastAsia="en-US"/>
        </w:rPr>
        <w:t xml:space="preserve"> În conformitate cu dispozițiile art.123, alin.(1) din Ordonanța de Urgență a Guvernului nr.57/2019, privind Codul Administrativ,</w:t>
      </w:r>
      <w:r>
        <w:rPr>
          <w:sz w:val="28"/>
          <w:szCs w:val="28"/>
        </w:rPr>
        <w:t xml:space="preserve"> cu modificările şi completările ulterioare</w:t>
      </w:r>
      <w:r>
        <w:rPr>
          <w:rFonts w:eastAsia="PMingLiU"/>
          <w:sz w:val="28"/>
          <w:szCs w:val="28"/>
        </w:rPr>
        <w:t xml:space="preserve">; </w:t>
      </w:r>
    </w:p>
    <w:p>
      <w:pPr>
        <w:jc w:val="both"/>
        <w:rPr>
          <w:sz w:val="28"/>
          <w:szCs w:val="28"/>
          <w:lang w:val="en-US"/>
        </w:rPr>
      </w:pPr>
      <w:r>
        <w:rPr>
          <w:rFonts w:cs="Arial"/>
          <w:bCs/>
          <w:color w:val="000000"/>
          <w:sz w:val="28"/>
          <w:szCs w:val="28"/>
          <w:lang w:eastAsia="en-US"/>
        </w:rPr>
        <w:t xml:space="preserve">         </w:t>
      </w:r>
      <w:r>
        <w:rPr>
          <w:color w:val="000000"/>
          <w:sz w:val="28"/>
          <w:szCs w:val="28"/>
        </w:rPr>
        <w:t>În temeiul art. 139, alin. (1) și art.196 alin.(1) lit.a din O.U.G. nr. 57/2019 privind Codul Administrativ</w:t>
      </w:r>
      <w:r>
        <w:rPr>
          <w:sz w:val="28"/>
          <w:szCs w:val="28"/>
          <w:lang w:val="en-US" w:eastAsia="en-US"/>
        </w:rPr>
        <w:t>,</w:t>
      </w:r>
      <w:r>
        <w:rPr>
          <w:sz w:val="28"/>
          <w:szCs w:val="28"/>
        </w:rPr>
        <w:t xml:space="preserve"> cu modificările şi completările ulterioare,</w:t>
      </w:r>
      <w:r>
        <w:rPr>
          <w:sz w:val="28"/>
          <w:szCs w:val="28"/>
          <w:lang w:val="fr-FR"/>
        </w:rPr>
        <w:t xml:space="preserve"> cu un număr de 10 voturi   “pentru”, cu un număr de 0 voturi   “împotrivă”, cu un număr de 0 voturi   “abțineri”,  adoptă următoarea</w:t>
      </w:r>
      <w:r>
        <w:rPr>
          <w:sz w:val="28"/>
          <w:szCs w:val="28"/>
          <w:lang w:val="en-US"/>
        </w:rPr>
        <w:t>:</w:t>
      </w:r>
    </w:p>
    <w:p>
      <w:pPr>
        <w:jc w:val="both"/>
        <w:rPr>
          <w:sz w:val="28"/>
          <w:szCs w:val="28"/>
          <w:lang w:val="en-US" w:eastAsia="en-US"/>
        </w:rPr>
      </w:pPr>
    </w:p>
    <w:p>
      <w:pPr>
        <w:jc w:val="center"/>
        <w:rPr>
          <w:b/>
          <w:sz w:val="28"/>
          <w:szCs w:val="28"/>
          <w:lang w:val="fr-FR" w:eastAsia="en-US"/>
        </w:rPr>
      </w:pPr>
      <w:r>
        <w:rPr>
          <w:b/>
          <w:sz w:val="28"/>
          <w:szCs w:val="28"/>
          <w:lang w:val="fr-FR" w:eastAsia="en-US"/>
        </w:rPr>
        <w:t>H O T Ă R Â R E</w:t>
      </w:r>
    </w:p>
    <w:p>
      <w:pPr>
        <w:jc w:val="center"/>
        <w:rPr>
          <w:b/>
          <w:sz w:val="28"/>
          <w:szCs w:val="28"/>
          <w:lang w:val="fr-FR" w:eastAsia="en-US"/>
        </w:rPr>
      </w:pPr>
    </w:p>
    <w:p>
      <w:pPr>
        <w:widowControl w:val="0"/>
        <w:tabs>
          <w:tab w:val="left" w:pos="284"/>
        </w:tabs>
        <w:suppressAutoHyphens/>
        <w:autoSpaceDE w:val="0"/>
        <w:ind w:right="-48"/>
        <w:jc w:val="both"/>
        <w:rPr>
          <w:sz w:val="28"/>
          <w:szCs w:val="28"/>
          <w:lang w:val="fr-FR" w:eastAsia="en-US"/>
        </w:rPr>
      </w:pPr>
      <w:r>
        <w:rPr>
          <w:b/>
          <w:sz w:val="28"/>
          <w:szCs w:val="28"/>
          <w:lang w:val="fr-FR" w:eastAsia="en-US"/>
        </w:rPr>
        <w:tab/>
      </w:r>
      <w:r>
        <w:rPr>
          <w:b/>
          <w:sz w:val="28"/>
          <w:szCs w:val="28"/>
          <w:lang w:val="fr-FR" w:eastAsia="en-US"/>
        </w:rPr>
        <w:t xml:space="preserve">     Art.1.</w:t>
      </w:r>
      <w:r>
        <w:rPr>
          <w:sz w:val="28"/>
          <w:szCs w:val="28"/>
        </w:rPr>
        <w:t>Se alege domnul consilier local  Dițoiu Ion preşedinte de şedinţă,  pentru perioada august-octombrie 2021 şi în această calitate va conduce şedinţele consiliului local şi va semna hotărârile adoptate de acesta</w:t>
      </w:r>
      <w:r>
        <w:t>.</w:t>
      </w:r>
      <w:r>
        <w:rPr>
          <w:sz w:val="28"/>
          <w:szCs w:val="28"/>
          <w:lang w:val="fr-FR" w:eastAsia="en-US"/>
        </w:rPr>
        <w:t xml:space="preserve"> </w:t>
      </w:r>
    </w:p>
    <w:p>
      <w:pPr>
        <w:widowControl w:val="0"/>
        <w:tabs>
          <w:tab w:val="left" w:pos="284"/>
        </w:tabs>
        <w:suppressAutoHyphens/>
        <w:autoSpaceDE w:val="0"/>
        <w:ind w:right="-48"/>
        <w:jc w:val="both"/>
        <w:rPr>
          <w:rFonts w:eastAsiaTheme="minorHAnsi"/>
          <w:sz w:val="28"/>
          <w:szCs w:val="28"/>
        </w:rPr>
      </w:pPr>
    </w:p>
    <w:p>
      <w:pPr>
        <w:widowControl w:val="0"/>
        <w:tabs>
          <w:tab w:val="left" w:pos="284"/>
        </w:tabs>
        <w:suppressAutoHyphens/>
        <w:autoSpaceDE w:val="0"/>
        <w:ind w:righ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Art.2</w:t>
      </w:r>
      <w:r>
        <w:rPr>
          <w:sz w:val="28"/>
          <w:szCs w:val="28"/>
        </w:rPr>
        <w:t xml:space="preserve">. Președintele de ședintă prevăzut la art.1 exercită următoarele atribuții principale: </w:t>
      </w:r>
    </w:p>
    <w:p>
      <w:pPr>
        <w:widowControl w:val="0"/>
        <w:tabs>
          <w:tab w:val="left" w:pos="284"/>
        </w:tabs>
        <w:suppressAutoHyphens/>
        <w:autoSpaceDE w:val="0"/>
        <w:ind w:righ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a)conduce ședințele consiliului local; </w:t>
      </w:r>
    </w:p>
    <w:p>
      <w:pPr>
        <w:widowControl w:val="0"/>
        <w:tabs>
          <w:tab w:val="left" w:pos="284"/>
        </w:tabs>
        <w:suppressAutoHyphens/>
        <w:autoSpaceDE w:val="0"/>
        <w:ind w:righ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supune votului consilierilor locali proiectele de hotărâri și anunță rezultatul votării, cu precizarea voturilor pentru, a voturilor împotriva și a abținerilor numărate și evidențiate de secretarul general al comunei în procesul-verbal al ședinței; </w:t>
      </w:r>
    </w:p>
    <w:p>
      <w:pPr>
        <w:widowControl w:val="0"/>
        <w:tabs>
          <w:tab w:val="left" w:pos="284"/>
        </w:tabs>
        <w:suppressAutoHyphens/>
        <w:autoSpaceDE w:val="0"/>
        <w:ind w:righ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semnează procesul-verbal al ședinței; </w:t>
      </w:r>
    </w:p>
    <w:p>
      <w:pPr>
        <w:widowControl w:val="0"/>
        <w:tabs>
          <w:tab w:val="left" w:pos="284"/>
        </w:tabs>
        <w:suppressAutoHyphens/>
        <w:autoSpaceDE w:val="0"/>
        <w:ind w:righ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asigură menținerea ordinii, în condițiile regulamentului de organizare și funcționare a consiliului local; </w:t>
      </w:r>
    </w:p>
    <w:p>
      <w:pPr>
        <w:widowControl w:val="0"/>
        <w:tabs>
          <w:tab w:val="left" w:pos="284"/>
        </w:tabs>
        <w:suppressAutoHyphens/>
        <w:autoSpaceDE w:val="0"/>
        <w:ind w:righ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supune votului consilierilor locali orice problemă care intră în competența de soluționare a consiliului local; </w:t>
      </w:r>
    </w:p>
    <w:p>
      <w:pPr>
        <w:widowControl w:val="0"/>
        <w:tabs>
          <w:tab w:val="left" w:pos="284"/>
        </w:tabs>
        <w:suppressAutoHyphens/>
        <w:autoSpaceDE w:val="0"/>
        <w:ind w:right="-48"/>
        <w:jc w:val="both"/>
        <w:rPr>
          <w:sz w:val="28"/>
          <w:szCs w:val="28"/>
        </w:rPr>
      </w:pPr>
      <w:r>
        <w:rPr>
          <w:sz w:val="28"/>
          <w:szCs w:val="28"/>
        </w:rPr>
        <w:t>f) aplică, daca este cazul, sancțiunile prevăzute la art. 233 alin. (1) din OUG nr.57/2019 sau propune consiliului aplicarea unor asemenea sancțiuni, după caz;</w:t>
      </w:r>
    </w:p>
    <w:p>
      <w:pPr>
        <w:widowControl w:val="0"/>
        <w:tabs>
          <w:tab w:val="left" w:pos="284"/>
        </w:tabs>
        <w:suppressAutoHyphens/>
        <w:autoSpaceDE w:val="0"/>
        <w:ind w:righ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g) îndeplinește alte atribuții prevăzute de lege, de regulamentul de organizare și funcționare a consiliului local sau alte însărcinări date de catre consiliul local. </w:t>
      </w:r>
    </w:p>
    <w:p>
      <w:pPr>
        <w:widowControl w:val="0"/>
        <w:tabs>
          <w:tab w:val="left" w:pos="284"/>
        </w:tabs>
        <w:suppressAutoHyphens/>
        <w:autoSpaceDE w:val="0"/>
        <w:ind w:right="-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Art.3.</w:t>
      </w:r>
      <w:r>
        <w:rPr>
          <w:sz w:val="28"/>
          <w:szCs w:val="28"/>
        </w:rPr>
        <w:t xml:space="preserve">Secretarul general al comunei Grădiștea va asigura comunicarea prezentei hotărâri Instituţiei Prefectului - judeţul Vâlcea în vederea exercitării controlului de legalitate, primarului comunei şi domnului consilier ales </w:t>
      </w:r>
      <w:r>
        <w:rPr>
          <w:sz w:val="28"/>
          <w:szCs w:val="28"/>
          <w:lang w:val="fr-FR" w:eastAsia="en-US"/>
        </w:rPr>
        <w:t>președinte de ședința al Consiliului Local, precum</w:t>
      </w:r>
      <w:r>
        <w:rPr>
          <w:sz w:val="28"/>
          <w:szCs w:val="28"/>
        </w:rPr>
        <w:t xml:space="preserve"> și aducerea la cunostința publică prin afișare la sediul Consiliului Local</w:t>
      </w:r>
      <w:r>
        <w:rPr>
          <w:iCs/>
          <w:sz w:val="28"/>
          <w:szCs w:val="28"/>
        </w:rPr>
        <w:t xml:space="preserve"> și pe site-ul propriu.</w:t>
      </w:r>
    </w:p>
    <w:p>
      <w:pPr>
        <w:widowControl w:val="0"/>
        <w:tabs>
          <w:tab w:val="left" w:pos="2805"/>
        </w:tabs>
        <w:suppressAutoHyphens/>
        <w:autoSpaceDE w:val="0"/>
        <w:ind w:right="-48"/>
        <w:jc w:val="both"/>
        <w:rPr>
          <w:sz w:val="28"/>
          <w:szCs w:val="28"/>
          <w:lang w:val="fr-FR" w:eastAsia="en-US"/>
        </w:rPr>
      </w:pPr>
      <w:r>
        <w:rPr>
          <w:sz w:val="28"/>
          <w:szCs w:val="28"/>
          <w:lang w:val="fr-FR" w:eastAsia="en-US"/>
        </w:rPr>
        <w:tab/>
      </w:r>
    </w:p>
    <w:p>
      <w:pPr>
        <w:rPr>
          <w:rFonts w:eastAsiaTheme="minorHAnsi"/>
          <w:color w:val="000000"/>
          <w:sz w:val="22"/>
          <w:szCs w:val="22"/>
          <w:lang w:bidi="ro-RO"/>
        </w:rPr>
      </w:pPr>
      <w:r>
        <w:rPr>
          <w:sz w:val="28"/>
          <w:szCs w:val="28"/>
          <w:lang w:val="fr-FR" w:eastAsia="en-US"/>
        </w:rPr>
        <w:t xml:space="preserve">  </w:t>
      </w:r>
      <w:r>
        <w:rPr>
          <w:b/>
          <w:sz w:val="28"/>
          <w:szCs w:val="28"/>
          <w:lang w:val="pt-BR" w:eastAsia="en-GB"/>
        </w:rPr>
        <w:t xml:space="preserve"> </w:t>
      </w:r>
      <w:r>
        <w:rPr>
          <w:rFonts w:eastAsiaTheme="minorHAnsi"/>
          <w:b/>
          <w:sz w:val="22"/>
          <w:szCs w:val="22"/>
          <w:lang w:val="pt-BR" w:eastAsia="en-GB"/>
        </w:rPr>
        <w:t>PREȘEDINTE DE ȘEDINȚĂ</w:t>
      </w:r>
      <w:r>
        <w:rPr>
          <w:rFonts w:eastAsiaTheme="minorHAnsi"/>
          <w:sz w:val="22"/>
          <w:szCs w:val="22"/>
          <w:lang w:val="pt-BR" w:eastAsia="en-GB"/>
        </w:rPr>
        <w:t xml:space="preserve">,                            </w:t>
      </w:r>
      <w:r>
        <w:rPr>
          <w:rFonts w:eastAsiaTheme="minorHAnsi"/>
          <w:b/>
          <w:sz w:val="22"/>
          <w:szCs w:val="22"/>
          <w:lang w:val="pt-BR" w:eastAsia="en-GB"/>
        </w:rPr>
        <w:t>CONTRASEMNEAZĂ PENTRU LEGALITATE,</w:t>
      </w:r>
    </w:p>
    <w:p>
      <w:pPr>
        <w:rPr>
          <w:rFonts w:eastAsiaTheme="minorHAnsi"/>
          <w:b/>
          <w:sz w:val="22"/>
          <w:szCs w:val="22"/>
          <w:lang w:val="pt-BR" w:eastAsia="en-GB"/>
        </w:rPr>
      </w:pPr>
      <w:r>
        <w:rPr>
          <w:rFonts w:eastAsiaTheme="minorHAnsi"/>
          <w:b/>
          <w:sz w:val="22"/>
          <w:szCs w:val="22"/>
          <w:lang w:val="pt-BR" w:eastAsia="en-GB"/>
        </w:rPr>
        <w:t xml:space="preserve">         CONSILIER LOCAL,                                                           SECRETAR GENERAL,</w:t>
      </w:r>
    </w:p>
    <w:p>
      <w:pPr>
        <w:rPr>
          <w:rFonts w:eastAsiaTheme="minorHAnsi"/>
          <w:sz w:val="22"/>
          <w:szCs w:val="22"/>
          <w:lang w:val="pt-BR" w:eastAsia="en-GB"/>
        </w:rPr>
      </w:pPr>
      <w:r>
        <w:rPr>
          <w:rFonts w:eastAsiaTheme="minorHAnsi"/>
          <w:sz w:val="22"/>
          <w:szCs w:val="22"/>
          <w:lang w:val="pt-BR" w:eastAsia="en-GB"/>
        </w:rPr>
        <w:t xml:space="preserve">                  DABU Vasile                                                            </w:t>
      </w:r>
      <w:r>
        <w:rPr>
          <w:rFonts w:eastAsiaTheme="minorHAnsi"/>
          <w:i/>
          <w:sz w:val="22"/>
          <w:szCs w:val="22"/>
          <w:lang w:val="pt-BR" w:eastAsia="en-GB"/>
        </w:rPr>
        <w:t>jurist</w:t>
      </w:r>
      <w:r>
        <w:rPr>
          <w:rFonts w:eastAsiaTheme="minorHAnsi"/>
          <w:sz w:val="22"/>
          <w:szCs w:val="22"/>
          <w:lang w:val="pt-BR" w:eastAsia="en-GB"/>
        </w:rPr>
        <w:t xml:space="preserve"> COCOȘ-BARBU Milemtina</w:t>
      </w:r>
    </w:p>
    <w:p>
      <w:pPr>
        <w:rPr>
          <w:rFonts w:eastAsiaTheme="minorHAnsi"/>
          <w:sz w:val="22"/>
          <w:szCs w:val="22"/>
          <w:lang w:val="pt-BR" w:eastAsia="en-GB"/>
        </w:rPr>
      </w:pPr>
    </w:p>
    <w:p>
      <w:pPr>
        <w:rPr>
          <w:rFonts w:eastAsiaTheme="minorHAnsi"/>
          <w:b/>
          <w:sz w:val="22"/>
          <w:szCs w:val="22"/>
          <w:lang w:val="pt-BR" w:eastAsia="en-GB"/>
        </w:rPr>
      </w:pPr>
      <w:r>
        <w:rPr>
          <w:rFonts w:eastAsiaTheme="minorHAnsi"/>
          <w:sz w:val="22"/>
          <w:szCs w:val="22"/>
          <w:lang w:val="pt-BR" w:eastAsia="en-GB"/>
        </w:rPr>
        <w:t xml:space="preserve"> </w:t>
      </w:r>
      <w:r>
        <w:rPr>
          <w:rFonts w:eastAsiaTheme="minorHAnsi"/>
          <w:b/>
          <w:sz w:val="22"/>
          <w:szCs w:val="22"/>
          <w:lang w:val="pt-BR" w:eastAsia="en-GB"/>
        </w:rPr>
        <w:t>Grădiștea, 30 iulie 2021</w:t>
      </w:r>
    </w:p>
    <w:p>
      <w:pPr>
        <w:rPr>
          <w:rFonts w:eastAsiaTheme="minorHAnsi"/>
          <w:b/>
          <w:sz w:val="22"/>
          <w:szCs w:val="22"/>
          <w:lang w:val="pt-BR" w:eastAsia="en-GB"/>
        </w:rPr>
      </w:pPr>
    </w:p>
    <w:p/>
    <w:p/>
    <w:sectPr>
      <w:pgSz w:w="11906" w:h="16838"/>
      <w:pgMar w:top="1134" w:right="1440" w:bottom="1134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A497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53A4976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qFormat="1" w:unhideWhenUsed="0" w:uiPriority="65" w:semiHidden="0" w:name="Medium List 1 Accent 1"/>
    <w:lsdException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http://dli.ro/wp-content/uploads/2011/08/ue.jpg" TargetMode="Externa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2021-08-05T08:22:00Z</dcterms:created>
  <dc:creator>Liv</dc:creator>
  <cp:lastModifiedBy>Liv</cp:lastModifiedBy>
  <dcterms:modified xsi:type="dcterms:W3CDTF">2021-08-05T08:23:38Z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