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both"/>
        <w:rPr>
          <w:sz w:val="28"/>
          <w:szCs w:val="28"/>
          <w:lang w:val="fr-FR"/>
        </w:rPr>
      </w:pPr>
    </w:p>
    <w:p>
      <w:pPr>
        <w:ind w:right="-900"/>
        <w:jc w:val="center"/>
        <w:rPr>
          <w:b/>
          <w:i/>
          <w:sz w:val="28"/>
          <w:szCs w:val="28"/>
          <w:lang w:val="pt-BR" w:eastAsia="en-US"/>
        </w:rPr>
      </w:pPr>
      <w:r>
        <w:rPr>
          <w:b/>
          <w:i/>
          <w:sz w:val="28"/>
          <w:szCs w:val="28"/>
          <w:lang w:val="en-US" w:eastAsia="en-US"/>
        </w:rPr>
        <w:drawing>
          <wp:anchor distT="0" distB="0" distL="114300" distR="114300" simplePos="0" relativeHeight="251662336" behindDoc="0" locked="0" layoutInCell="1" allowOverlap="1">
            <wp:simplePos x="0" y="0"/>
            <wp:positionH relativeFrom="column">
              <wp:posOffset>-1270</wp:posOffset>
            </wp:positionH>
            <wp:positionV relativeFrom="paragraph">
              <wp:posOffset>-131445</wp:posOffset>
            </wp:positionV>
            <wp:extent cx="823595" cy="1287145"/>
            <wp:effectExtent l="0" t="0" r="14605" b="8255"/>
            <wp:wrapNone/>
            <wp:docPr id="42" name="Picture 42"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r>
        <w:rPr>
          <w:sz w:val="28"/>
          <w:szCs w:val="28"/>
          <w:lang w:val="en-US" w:eastAsia="en-US"/>
        </w:rPr>
        <w:drawing>
          <wp:anchor distT="0" distB="0" distL="114300" distR="114300" simplePos="0" relativeHeight="251661312" behindDoc="1" locked="0" layoutInCell="1" allowOverlap="1">
            <wp:simplePos x="0" y="0"/>
            <wp:positionH relativeFrom="column">
              <wp:posOffset>5027930</wp:posOffset>
            </wp:positionH>
            <wp:positionV relativeFrom="paragraph">
              <wp:posOffset>141605</wp:posOffset>
            </wp:positionV>
            <wp:extent cx="1159510" cy="800100"/>
            <wp:effectExtent l="0" t="0" r="0" b="2540"/>
            <wp:wrapNone/>
            <wp:docPr id="1" name="Picture 1"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59510" cy="800100"/>
                    </a:xfrm>
                    <a:prstGeom prst="rect">
                      <a:avLst/>
                    </a:prstGeom>
                    <a:noFill/>
                  </pic:spPr>
                </pic:pic>
              </a:graphicData>
            </a:graphic>
          </wp:anchor>
        </w:drawing>
      </w:r>
      <w:r>
        <w:rPr>
          <w:b/>
          <w:i/>
          <w:sz w:val="28"/>
          <w:szCs w:val="28"/>
          <w:lang w:val="pt-BR" w:eastAsia="en-US"/>
        </w:rPr>
        <w:t xml:space="preserve">- </w:t>
      </w:r>
      <w:r>
        <w:rPr>
          <w:b/>
          <w:sz w:val="28"/>
          <w:szCs w:val="28"/>
          <w:lang w:val="pt-BR" w:eastAsia="en-US"/>
        </w:rPr>
        <w:t>CONSILIUL  LOCAL</w:t>
      </w:r>
      <w:r>
        <w:rPr>
          <w:b/>
          <w:i/>
          <w:sz w:val="28"/>
          <w:szCs w:val="28"/>
          <w:lang w:val="pt-BR" w:eastAsia="en-US"/>
        </w:rPr>
        <w:t xml:space="preserve"> -</w:t>
      </w:r>
    </w:p>
    <w:p>
      <w:pPr>
        <w:ind w:right="-900"/>
        <w:jc w:val="center"/>
        <w:rPr>
          <w:b/>
          <w:i/>
          <w:sz w:val="28"/>
          <w:szCs w:val="28"/>
          <w:lang w:val="pt-BR" w:eastAsia="en-US"/>
        </w:rPr>
      </w:pPr>
      <w:r>
        <w:rPr>
          <w:b/>
          <w:i/>
          <w:sz w:val="28"/>
          <w:szCs w:val="28"/>
          <w:lang w:val="pt-BR" w:eastAsia="en-US"/>
        </w:rPr>
        <w:t>Comuna Grădiştea, Judeţul Vîlcea</w:t>
      </w:r>
    </w:p>
    <w:p>
      <w:pPr>
        <w:ind w:right="-900"/>
        <w:jc w:val="center"/>
        <w:rPr>
          <w:b/>
          <w:i/>
          <w:sz w:val="28"/>
          <w:szCs w:val="28"/>
          <w:lang w:val="fr-FR" w:eastAsia="en-US"/>
        </w:rPr>
      </w:pPr>
      <w:r>
        <w:rPr>
          <w:b/>
          <w:i/>
          <w:sz w:val="28"/>
          <w:szCs w:val="28"/>
          <w:lang w:val="fr-FR" w:eastAsia="en-US"/>
        </w:rPr>
        <w:t>Tel:0250/867072 ; Tel/ Fax : 0250/867009</w:t>
      </w:r>
    </w:p>
    <w:p>
      <w:pPr>
        <w:ind w:right="89"/>
        <w:jc w:val="center"/>
        <w:rPr>
          <w:b/>
          <w:i/>
          <w:color w:val="000000"/>
          <w:sz w:val="28"/>
          <w:szCs w:val="28"/>
          <w:lang w:val="fr-FR"/>
        </w:rPr>
      </w:pPr>
      <w:r>
        <w:rPr>
          <w:b/>
          <w:i/>
          <w:sz w:val="28"/>
          <w:szCs w:val="28"/>
          <w:lang w:val="fr-FR"/>
        </w:rPr>
        <w:t xml:space="preserve">              e-mail: </w:t>
      </w:r>
      <w:r>
        <w:rPr>
          <w:b/>
          <w:i/>
          <w:color w:val="000000"/>
          <w:sz w:val="28"/>
          <w:szCs w:val="28"/>
          <w:lang w:val="fr-FR"/>
        </w:rPr>
        <w:t>gradistea@vl.e-adm.ro</w:t>
      </w:r>
    </w:p>
    <w:p>
      <w:pPr>
        <w:ind w:right="-900"/>
        <w:jc w:val="center"/>
        <w:rPr>
          <w:b/>
          <w:color w:val="0563C1" w:themeColor="hyperlink"/>
          <w:sz w:val="28"/>
          <w:szCs w:val="28"/>
          <w:u w:val="single"/>
          <w:lang w:val="fr-FR" w:eastAsia="en-US"/>
          <w14:textFill>
            <w14:solidFill>
              <w14:schemeClr w14:val="hlink"/>
            </w14:solidFill>
          </w14:textFill>
        </w:rPr>
      </w:pPr>
      <w:r>
        <w:fldChar w:fldCharType="begin"/>
      </w:r>
      <w:r>
        <w:instrText xml:space="preserve"> HYPERLINK "http://www.primariagradisteavalcea.ro" </w:instrText>
      </w:r>
      <w:r>
        <w:fldChar w:fldCharType="separate"/>
      </w:r>
      <w:r>
        <w:rPr>
          <w:b/>
          <w:color w:val="0563C1" w:themeColor="hyperlink"/>
          <w:sz w:val="28"/>
          <w:szCs w:val="28"/>
          <w:u w:val="single"/>
          <w:lang w:val="fr-FR" w:eastAsia="en-US"/>
          <w14:textFill>
            <w14:solidFill>
              <w14:schemeClr w14:val="hlink"/>
            </w14:solidFill>
          </w14:textFill>
        </w:rPr>
        <w:t>www.primariagradisteavalcea.ro</w:t>
      </w:r>
      <w:r>
        <w:rPr>
          <w:b/>
          <w:color w:val="0563C1" w:themeColor="hyperlink"/>
          <w:sz w:val="28"/>
          <w:szCs w:val="28"/>
          <w:u w:val="single"/>
          <w:lang w:val="fr-FR" w:eastAsia="en-US"/>
          <w14:textFill>
            <w14:solidFill>
              <w14:schemeClr w14:val="hlink"/>
            </w14:solidFill>
          </w14:textFill>
        </w:rPr>
        <w:fldChar w:fldCharType="end"/>
      </w:r>
      <w:r>
        <w:rPr>
          <w:sz w:val="28"/>
          <w:szCs w:val="28"/>
          <w:lang w:val="en-US" w:eastAsia="en-US"/>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sz w:val="28"/>
          <w:szCs w:val="28"/>
          <w:lang w:val="en-US" w:eastAsia="en-US"/>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jc w:val="center"/>
        <w:rPr>
          <w:b/>
          <w:sz w:val="28"/>
          <w:szCs w:val="28"/>
          <w:lang w:val="pt-BR" w:eastAsia="en-US"/>
        </w:rPr>
      </w:pPr>
      <w:r>
        <w:rPr>
          <w:b/>
          <w:color w:val="000000"/>
          <w:sz w:val="28"/>
          <w:szCs w:val="28"/>
          <w:lang w:val="en-US" w:eastAsia="en-US"/>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jc w:val="center"/>
        <w:rPr>
          <w:b/>
          <w:sz w:val="28"/>
          <w:szCs w:val="28"/>
          <w:lang w:val="pt-BR"/>
        </w:rPr>
      </w:pPr>
      <w:r>
        <w:rPr>
          <w:b/>
          <w:sz w:val="28"/>
          <w:szCs w:val="28"/>
          <w:lang w:val="pt-BR"/>
        </w:rPr>
        <w:t>H O T Ă R Â R E A  Nr. 45</w:t>
      </w:r>
    </w:p>
    <w:p>
      <w:pPr>
        <w:jc w:val="center"/>
        <w:rPr>
          <w:b/>
          <w:sz w:val="28"/>
          <w:szCs w:val="28"/>
        </w:rPr>
      </w:pPr>
      <w:r>
        <w:rPr>
          <w:sz w:val="28"/>
          <w:szCs w:val="28"/>
          <w:lang w:val="pt-BR"/>
        </w:rPr>
        <w:t>PRIVIND</w:t>
      </w:r>
      <w:r>
        <w:rPr>
          <w:sz w:val="28"/>
          <w:szCs w:val="28"/>
          <w:lang w:val="en-US"/>
        </w:rPr>
        <w:t>:</w:t>
      </w:r>
      <w:r>
        <w:rPr>
          <w:sz w:val="28"/>
          <w:szCs w:val="28"/>
          <w:lang w:val="pt-BR"/>
        </w:rPr>
        <w:t xml:space="preserve"> </w:t>
      </w:r>
      <w:r>
        <w:rPr>
          <w:b/>
          <w:sz w:val="28"/>
          <w:szCs w:val="28"/>
        </w:rPr>
        <w:t>desemnarea unui consilier local în Comisia de evaluare a probei de interviu, din cadrul Concursului pentru ocuparea funcției de director din unitățile de învătământ preuniversitar de stat din Comuna Grădiștea,</w:t>
      </w:r>
    </w:p>
    <w:p>
      <w:pPr>
        <w:jc w:val="center"/>
        <w:rPr>
          <w:sz w:val="28"/>
          <w:szCs w:val="28"/>
          <w:lang w:val="pt-BR"/>
        </w:rPr>
      </w:pPr>
      <w:r>
        <w:rPr>
          <w:b/>
          <w:sz w:val="28"/>
          <w:szCs w:val="28"/>
        </w:rPr>
        <w:t>județul Vâlcea</w:t>
      </w:r>
    </w:p>
    <w:p>
      <w:pPr>
        <w:tabs>
          <w:tab w:val="left" w:pos="1290"/>
        </w:tabs>
        <w:rPr>
          <w:b/>
          <w:sz w:val="28"/>
          <w:szCs w:val="28"/>
          <w:lang w:val="pt-BR"/>
        </w:rPr>
      </w:pPr>
      <w:r>
        <w:rPr>
          <w:b/>
          <w:sz w:val="28"/>
          <w:szCs w:val="28"/>
          <w:lang w:val="pt-BR"/>
        </w:rPr>
        <w:tab/>
      </w:r>
    </w:p>
    <w:p>
      <w:pPr>
        <w:jc w:val="both"/>
        <w:rPr>
          <w:sz w:val="28"/>
          <w:szCs w:val="28"/>
          <w:lang w:val="fr-FR"/>
        </w:rPr>
      </w:pPr>
      <w:r>
        <w:rPr>
          <w:sz w:val="28"/>
          <w:szCs w:val="28"/>
          <w:lang w:val="fr-FR"/>
        </w:rPr>
        <w:t xml:space="preserve">        Consiliul Local Grădiştea, întrunit în şedința extraordinară din data de 03 noiembrie 2021, la care participă un număr de 10 consilieri din totalul de 11 consilieri în funcţie ;</w:t>
      </w:r>
    </w:p>
    <w:p>
      <w:pPr>
        <w:jc w:val="both"/>
        <w:rPr>
          <w:sz w:val="28"/>
          <w:szCs w:val="28"/>
          <w:lang w:val="fr-FR"/>
        </w:rPr>
      </w:pPr>
      <w:r>
        <w:rPr>
          <w:sz w:val="28"/>
          <w:szCs w:val="28"/>
          <w:lang w:val="fr-FR"/>
        </w:rPr>
        <w:t xml:space="preserve">        Văzând ca potrivit Hotărârii Consiliului Local Grădiștea cu nr. 40/25.10.2021, este ales președinte de ședintă d-nul Gîngu Gabriel;</w:t>
      </w:r>
    </w:p>
    <w:p>
      <w:pPr>
        <w:jc w:val="both"/>
        <w:rPr>
          <w:sz w:val="28"/>
          <w:szCs w:val="28"/>
        </w:rPr>
      </w:pPr>
      <w:r>
        <w:rPr>
          <w:sz w:val="28"/>
          <w:szCs w:val="28"/>
        </w:rPr>
        <w:t xml:space="preserve">       Adresa Inspectoratului Școlar Județean Vâlcea cu numărul 7862/28.10.2021, înregistrată la Primăria comunei Grădiștea sub numărul 7.068/20.10.2021, prin care solicită desemnarea unui consilier local în Comisia de evaluare a probei de interviu, din cadrul Concursului pentru ocuparea funcției de director din unitățile de învătământ preuniversitar de stat din Comuna Grădiștea, județul Vâlcea.</w:t>
      </w:r>
    </w:p>
    <w:p>
      <w:pPr>
        <w:jc w:val="both"/>
        <w:rPr>
          <w:sz w:val="28"/>
          <w:szCs w:val="28"/>
          <w:lang w:val="fr-FR"/>
        </w:rPr>
      </w:pPr>
      <w:r>
        <w:rPr>
          <w:sz w:val="28"/>
          <w:szCs w:val="28"/>
          <w:lang w:val="fr-FR"/>
        </w:rPr>
        <w:t xml:space="preserve">        Luând în discuție </w:t>
      </w:r>
      <w:r>
        <w:rPr>
          <w:sz w:val="28"/>
          <w:szCs w:val="28"/>
          <w:u w:val="single"/>
          <w:lang w:val="fr-FR"/>
        </w:rPr>
        <w:t>referatul de aprobare cu nr. 7.069/28.10.2021 al cărui semnatar este primarul</w:t>
      </w:r>
      <w:r>
        <w:rPr>
          <w:sz w:val="28"/>
          <w:szCs w:val="28"/>
          <w:lang w:val="fr-FR"/>
        </w:rPr>
        <w:t xml:space="preserve"> comunei Grădiștea asupra proiectului de hotărâre, prin care propune </w:t>
      </w:r>
      <w:r>
        <w:rPr>
          <w:sz w:val="28"/>
          <w:szCs w:val="28"/>
        </w:rPr>
        <w:t>desemnarea unui consilier local în Comisia de evaluare a probei de interviu, din cadrul Concursului pentru ocuparea funcției de director din unitățile de învătământ preuniversitar de stat din Comuna Grădiștea,județul Vâlcea</w:t>
      </w:r>
      <w:r>
        <w:rPr>
          <w:sz w:val="28"/>
          <w:szCs w:val="28"/>
          <w:lang w:val="pt-BR" w:eastAsia="zh-CN"/>
        </w:rPr>
        <w:t xml:space="preserve">, precum și </w:t>
      </w:r>
      <w:r>
        <w:rPr>
          <w:sz w:val="28"/>
          <w:szCs w:val="28"/>
          <w:u w:val="single"/>
          <w:lang w:val="fr-FR"/>
        </w:rPr>
        <w:t xml:space="preserve">raportul întocmit de compartimentul de specialitate din cadrul Primariei Comunei Grădiștea cu nr. 7.070/28.10.2021 </w:t>
      </w:r>
      <w:r>
        <w:rPr>
          <w:sz w:val="28"/>
          <w:szCs w:val="28"/>
          <w:lang w:val="fr-FR"/>
        </w:rPr>
        <w:t>prin care propune admiterea proiectului de hotărâre;</w:t>
      </w:r>
    </w:p>
    <w:p>
      <w:pPr>
        <w:jc w:val="both"/>
        <w:rPr>
          <w:sz w:val="28"/>
          <w:szCs w:val="28"/>
          <w:u w:val="single"/>
          <w:lang w:val="fr-FR"/>
        </w:rPr>
      </w:pPr>
      <w:r>
        <w:rPr>
          <w:sz w:val="28"/>
          <w:szCs w:val="28"/>
          <w:lang w:val="fr-FR"/>
        </w:rPr>
        <w:t xml:space="preserve">        Având în vedere </w:t>
      </w:r>
      <w:r>
        <w:rPr>
          <w:sz w:val="28"/>
          <w:szCs w:val="28"/>
          <w:u w:val="single"/>
          <w:lang w:val="fr-FR"/>
        </w:rPr>
        <w:t>rapoartele comisiilor de specialitate ale Consiliului Local al comunei Grădiștea</w:t>
      </w:r>
      <w:r>
        <w:rPr>
          <w:sz w:val="28"/>
          <w:szCs w:val="28"/>
        </w:rPr>
        <w:t xml:space="preserve"> reunite, prin care se propune admiterea proiectului de hotărâre;</w:t>
      </w:r>
    </w:p>
    <w:p>
      <w:pPr>
        <w:jc w:val="both"/>
        <w:rPr>
          <w:sz w:val="28"/>
          <w:szCs w:val="28"/>
          <w:lang w:val="fr-FR"/>
        </w:rPr>
      </w:pPr>
      <w:r>
        <w:rPr>
          <w:sz w:val="28"/>
          <w:szCs w:val="28"/>
          <w:lang w:val="fr-FR"/>
        </w:rPr>
        <w:t xml:space="preserve">        Văzând </w:t>
      </w:r>
      <w:r>
        <w:rPr>
          <w:sz w:val="28"/>
          <w:szCs w:val="28"/>
          <w:u w:val="single"/>
          <w:lang w:val="fr-FR"/>
        </w:rPr>
        <w:t>raportul de avizare a legalității proiectului de hotărâre</w:t>
      </w:r>
      <w:r>
        <w:rPr>
          <w:sz w:val="28"/>
          <w:szCs w:val="28"/>
          <w:lang w:val="fr-FR"/>
        </w:rPr>
        <w:t>, întocmit de secretarul comunei Grădiștea, nr.</w:t>
      </w:r>
      <w:r>
        <w:rPr>
          <w:sz w:val="28"/>
          <w:szCs w:val="28"/>
          <w:u w:val="single"/>
          <w:lang w:val="fr-FR"/>
        </w:rPr>
        <w:t xml:space="preserve"> 7.071/28.10.2021</w:t>
      </w:r>
      <w:r>
        <w:rPr>
          <w:sz w:val="28"/>
          <w:szCs w:val="28"/>
          <w:lang w:val="fr-FR"/>
        </w:rPr>
        <w:t>;</w:t>
      </w:r>
    </w:p>
    <w:p>
      <w:pPr>
        <w:jc w:val="both"/>
        <w:rPr>
          <w:sz w:val="28"/>
          <w:szCs w:val="28"/>
          <w:lang w:val="pt-BR"/>
        </w:rPr>
      </w:pPr>
      <w:r>
        <w:rPr>
          <w:sz w:val="28"/>
          <w:szCs w:val="28"/>
          <w:lang w:val="pt-BR"/>
        </w:rPr>
        <w:t xml:space="preserve">         În conformitate :</w:t>
      </w:r>
    </w:p>
    <w:p>
      <w:pPr>
        <w:jc w:val="both"/>
        <w:rPr>
          <w:sz w:val="28"/>
          <w:szCs w:val="28"/>
        </w:rPr>
      </w:pPr>
      <w:r>
        <w:rPr>
          <w:sz w:val="28"/>
          <w:szCs w:val="28"/>
        </w:rPr>
        <w:t xml:space="preserve">       -Metodologia din 6 august 2021 privind organizarea şi desfăşurarea concursului pentru ocuparea funcţiilor de director şi director adjunct din unităţile de învăţământ preuniversitar de stat aprobata cu OME nr. 4597/2021, cu modificarile si completarile ulterioare, OME nr. 5195/03.09.2021, </w:t>
      </w:r>
      <w:r>
        <w:rPr>
          <w:color w:val="000000"/>
          <w:spacing w:val="5"/>
          <w:sz w:val="28"/>
          <w:szCs w:val="28"/>
          <w:shd w:val="clear" w:color="auto" w:fill="FFFFFF"/>
        </w:rPr>
        <w:t>privind modificarea şi completarea anexei la Ordinul ministrului educaţiei nr. 4.597/2021 pentru aprobarea Metodologiei privind organizarea şi desfăşurarea concursului pentru ocuparea funcţiilor de director şi director adjunct din unităţile de învăţământ preuniversitar de stat</w:t>
      </w:r>
      <w:r>
        <w:rPr>
          <w:sz w:val="28"/>
          <w:szCs w:val="28"/>
        </w:rPr>
        <w:t>, Legea Educației Naționale nr. 1/2011, cu modificările și completările ulterioare, prevederile art. 129 alin. (1), alin. (2) lit. d), alin. (7) lit. a), art. 136, art. 137 alin. (1), art. 140 alin. (1), art. 197 alin. (1), alin. (2), alin. (4). art. 198 alin. (1), alin. (2), art. 243 alin. (1) lit. a) din OUG nr. 57/2019 privind Codul Administrativ, cu modificările și completările ulterioare.</w:t>
      </w:r>
    </w:p>
    <w:p>
      <w:pPr>
        <w:jc w:val="both"/>
        <w:rPr>
          <w:sz w:val="28"/>
          <w:szCs w:val="28"/>
          <w:lang w:val="en-US"/>
        </w:rPr>
      </w:pPr>
      <w:r>
        <w:rPr>
          <w:snapToGrid w:val="0"/>
          <w:color w:val="000000"/>
          <w:sz w:val="28"/>
          <w:szCs w:val="28"/>
        </w:rPr>
        <w:t xml:space="preserve">         </w:t>
      </w:r>
      <w:r>
        <w:rPr>
          <w:sz w:val="28"/>
          <w:szCs w:val="28"/>
        </w:rPr>
        <w:t xml:space="preserve">În temeiul art. 139 alin. (1) şi art. 196 alin. (1) lit. a) din </w:t>
      </w:r>
      <w:r>
        <w:rPr>
          <w:bCs/>
          <w:snapToGrid w:val="0"/>
          <w:color w:val="000000"/>
          <w:sz w:val="28"/>
          <w:szCs w:val="28"/>
        </w:rPr>
        <w:t>OUG nr. 57/2019</w:t>
      </w:r>
      <w:r>
        <w:rPr>
          <w:snapToGrid w:val="0"/>
          <w:color w:val="000000"/>
          <w:sz w:val="28"/>
          <w:szCs w:val="28"/>
        </w:rPr>
        <w:t xml:space="preserve"> privind Codul administrativ, cu </w:t>
      </w:r>
      <w:r>
        <w:rPr>
          <w:sz w:val="28"/>
          <w:szCs w:val="28"/>
        </w:rPr>
        <w:t>modificările și completările ulterioare</w:t>
      </w:r>
      <w:r>
        <w:rPr>
          <w:sz w:val="28"/>
          <w:szCs w:val="28"/>
          <w:lang w:val="en-US" w:eastAsia="en-US"/>
        </w:rPr>
        <w:t>,</w:t>
      </w:r>
      <w:r>
        <w:rPr>
          <w:sz w:val="28"/>
          <w:szCs w:val="28"/>
          <w:lang w:val="fr-FR"/>
        </w:rPr>
        <w:t xml:space="preserve"> cu un număr de 10 voturi   “pentru”, cu un număr de 0 voturi   “împotrivă”, cu un număr de 0 voturi   “abțineri”,  adoptă următoarea</w:t>
      </w:r>
      <w:r>
        <w:rPr>
          <w:sz w:val="28"/>
          <w:szCs w:val="28"/>
          <w:lang w:val="en-US"/>
        </w:rPr>
        <w:t>:</w:t>
      </w:r>
    </w:p>
    <w:p>
      <w:pPr>
        <w:jc w:val="both"/>
        <w:rPr>
          <w:snapToGrid w:val="0"/>
          <w:color w:val="000000"/>
          <w:sz w:val="28"/>
          <w:szCs w:val="28"/>
        </w:rPr>
      </w:pPr>
    </w:p>
    <w:p>
      <w:pPr>
        <w:rPr>
          <w:b/>
          <w:sz w:val="28"/>
          <w:szCs w:val="28"/>
          <w:lang w:val="pt-BR"/>
        </w:rPr>
      </w:pPr>
      <w:r>
        <w:rPr>
          <w:b/>
          <w:sz w:val="28"/>
          <w:szCs w:val="28"/>
          <w:lang w:val="pt-BR"/>
        </w:rPr>
        <w:t xml:space="preserve">                                                H O T Ă R Â R E</w:t>
      </w:r>
    </w:p>
    <w:p>
      <w:pPr>
        <w:rPr>
          <w:b/>
          <w:sz w:val="28"/>
          <w:szCs w:val="28"/>
          <w:lang w:val="pt-BR"/>
        </w:rPr>
      </w:pPr>
    </w:p>
    <w:p>
      <w:pPr>
        <w:jc w:val="both"/>
        <w:rPr>
          <w:sz w:val="28"/>
          <w:szCs w:val="28"/>
        </w:rPr>
      </w:pPr>
      <w:r>
        <w:rPr>
          <w:b/>
          <w:sz w:val="28"/>
          <w:szCs w:val="28"/>
          <w:lang w:val="pt-BR"/>
        </w:rPr>
        <w:t xml:space="preserve">       Art.1.</w:t>
      </w:r>
      <w:r>
        <w:rPr>
          <w:sz w:val="28"/>
          <w:szCs w:val="28"/>
          <w:lang w:val="pt-BR"/>
        </w:rPr>
        <w:t xml:space="preserve"> Se desemnează ca membru </w:t>
      </w:r>
      <w:r>
        <w:rPr>
          <w:sz w:val="28"/>
          <w:szCs w:val="28"/>
        </w:rPr>
        <w:t>în cadrul Comisiei de evaluare a probei de interviu, din cadrul Concursului pentru ocuparea funcției de director din unitățile de învătământ preuniversitar de stat din Comuna Grădiștea, județul Vâlcea, domnul BERCUCI-POPA Lucian consilier local Comuna Grădiștea,județul Vâlcea.</w:t>
      </w:r>
    </w:p>
    <w:p>
      <w:pPr>
        <w:jc w:val="both"/>
        <w:rPr>
          <w:sz w:val="28"/>
          <w:szCs w:val="28"/>
        </w:rPr>
      </w:pPr>
      <w:r>
        <w:rPr>
          <w:sz w:val="28"/>
          <w:szCs w:val="28"/>
          <w:lang w:val="pt-BR"/>
        </w:rPr>
        <w:t xml:space="preserve">      </w:t>
      </w:r>
      <w:r>
        <w:rPr>
          <w:b/>
          <w:sz w:val="28"/>
          <w:szCs w:val="28"/>
          <w:lang w:val="fr-FR"/>
        </w:rPr>
        <w:t>Art.2.</w:t>
      </w:r>
      <w:r>
        <w:rPr>
          <w:sz w:val="28"/>
          <w:szCs w:val="28"/>
          <w:lang w:val="fr-FR"/>
        </w:rPr>
        <w:t xml:space="preserve"> Persoana nominalizată la art.1</w:t>
      </w:r>
      <w:r>
        <w:rPr>
          <w:sz w:val="28"/>
          <w:szCs w:val="28"/>
        </w:rPr>
        <w:t xml:space="preserve">, </w:t>
      </w:r>
      <w:r>
        <w:rPr>
          <w:sz w:val="28"/>
          <w:szCs w:val="28"/>
          <w:lang w:val="fr-FR"/>
        </w:rPr>
        <w:t xml:space="preserve"> va asigura aducerea la îndeplinire a prevederilor prezentei hotârâri, informând Consiliul Local asupra modului de îndeplinire. </w:t>
      </w:r>
    </w:p>
    <w:p>
      <w:pPr>
        <w:jc w:val="both"/>
        <w:rPr>
          <w:sz w:val="28"/>
          <w:szCs w:val="28"/>
          <w:lang w:eastAsia="en-US"/>
        </w:rPr>
      </w:pPr>
      <w:r>
        <w:rPr>
          <w:sz w:val="28"/>
          <w:szCs w:val="28"/>
          <w:lang w:eastAsia="en-US"/>
        </w:rPr>
        <w:t xml:space="preserve">       </w:t>
      </w:r>
      <w:r>
        <w:rPr>
          <w:b/>
          <w:bCs/>
          <w:sz w:val="28"/>
          <w:szCs w:val="28"/>
        </w:rPr>
        <w:t xml:space="preserve">Art. 3. </w:t>
      </w:r>
      <w:r>
        <w:rPr>
          <w:sz w:val="28"/>
          <w:szCs w:val="28"/>
        </w:rPr>
        <w:t xml:space="preserve"> Prezenta hotărâre se comunică, în mod obligatoriu, prin intermediul secretarului general al comunei, în termenul prevăzut de lege:</w:t>
      </w:r>
    </w:p>
    <w:p>
      <w:pPr>
        <w:tabs>
          <w:tab w:val="left" w:pos="851"/>
        </w:tabs>
        <w:ind w:left="927"/>
        <w:jc w:val="both"/>
        <w:rPr>
          <w:sz w:val="28"/>
          <w:szCs w:val="28"/>
        </w:rPr>
      </w:pPr>
      <w:r>
        <w:rPr>
          <w:sz w:val="28"/>
          <w:szCs w:val="28"/>
        </w:rPr>
        <w:t>a.primarului comunei;</w:t>
      </w:r>
    </w:p>
    <w:p>
      <w:pPr>
        <w:tabs>
          <w:tab w:val="left" w:pos="851"/>
        </w:tabs>
        <w:ind w:left="927"/>
        <w:jc w:val="both"/>
        <w:rPr>
          <w:sz w:val="28"/>
          <w:szCs w:val="28"/>
        </w:rPr>
      </w:pPr>
      <w:r>
        <w:rPr>
          <w:sz w:val="28"/>
          <w:szCs w:val="28"/>
        </w:rPr>
        <w:t>b.prefectului judeţului Vâlcea;</w:t>
      </w:r>
    </w:p>
    <w:p>
      <w:pPr>
        <w:tabs>
          <w:tab w:val="left" w:pos="851"/>
        </w:tabs>
        <w:jc w:val="both"/>
        <w:rPr>
          <w:sz w:val="28"/>
          <w:szCs w:val="28"/>
        </w:rPr>
      </w:pPr>
      <w:r>
        <w:rPr>
          <w:sz w:val="28"/>
          <w:szCs w:val="28"/>
        </w:rPr>
        <w:t xml:space="preserve">            c.persoanei nominalizate;</w:t>
      </w:r>
    </w:p>
    <w:p>
      <w:pPr>
        <w:tabs>
          <w:tab w:val="left" w:pos="851"/>
        </w:tabs>
        <w:jc w:val="both"/>
        <w:rPr>
          <w:sz w:val="28"/>
          <w:szCs w:val="28"/>
        </w:rPr>
      </w:pPr>
      <w:r>
        <w:rPr>
          <w:sz w:val="28"/>
          <w:szCs w:val="28"/>
        </w:rPr>
        <w:t xml:space="preserve">            d.Inspectoratului Școlar Județean Vâlcea.</w:t>
      </w:r>
    </w:p>
    <w:p>
      <w:pPr>
        <w:tabs>
          <w:tab w:val="left" w:pos="851"/>
        </w:tabs>
        <w:ind w:left="1287"/>
        <w:jc w:val="both"/>
        <w:rPr>
          <w:sz w:val="28"/>
          <w:szCs w:val="28"/>
        </w:rPr>
      </w:pPr>
    </w:p>
    <w:p>
      <w:pPr>
        <w:jc w:val="both"/>
        <w:rPr>
          <w:sz w:val="28"/>
          <w:szCs w:val="28"/>
          <w:lang w:val="en-US" w:eastAsia="zh-CN"/>
        </w:rPr>
      </w:pPr>
    </w:p>
    <w:p>
      <w:pPr>
        <w:rPr>
          <w:rFonts w:eastAsiaTheme="minorHAnsi"/>
          <w:sz w:val="28"/>
          <w:szCs w:val="28"/>
          <w:lang w:val="pt-BR" w:eastAsia="en-US"/>
        </w:rPr>
      </w:pPr>
      <w:r>
        <w:rPr>
          <w:rFonts w:eastAsiaTheme="minorHAnsi"/>
          <w:b/>
          <w:sz w:val="28"/>
          <w:szCs w:val="28"/>
          <w:lang w:val="pt-BR" w:eastAsia="en-US"/>
        </w:rPr>
        <w:t xml:space="preserve"> </w:t>
      </w:r>
    </w:p>
    <w:p>
      <w:pPr>
        <w:pStyle w:val="40"/>
        <w:tabs>
          <w:tab w:val="center" w:pos="4320"/>
          <w:tab w:val="right" w:pos="8640"/>
          <w:tab w:val="clear" w:pos="4153"/>
          <w:tab w:val="clear" w:pos="8306"/>
        </w:tabs>
        <w:jc w:val="center"/>
        <w:rPr>
          <w:b/>
        </w:rPr>
      </w:pPr>
    </w:p>
    <w:p>
      <w:pPr>
        <w:rPr>
          <w:rFonts w:eastAsiaTheme="minorHAnsi"/>
          <w:color w:val="000000"/>
          <w:sz w:val="22"/>
          <w:szCs w:val="22"/>
          <w:lang w:bidi="ro-RO"/>
        </w:rPr>
      </w:pPr>
      <w:r>
        <w:rPr>
          <w:rFonts w:eastAsiaTheme="minorHAnsi"/>
          <w:b/>
          <w:sz w:val="22"/>
          <w:szCs w:val="22"/>
          <w:lang w:val="pt-BR"/>
        </w:rPr>
        <w:t>PREȘEDINTE DE ȘEDINȚĂ</w:t>
      </w:r>
      <w:r>
        <w:rPr>
          <w:rFonts w:eastAsiaTheme="minorHAnsi"/>
          <w:sz w:val="22"/>
          <w:szCs w:val="22"/>
          <w:lang w:val="pt-BR"/>
        </w:rPr>
        <w:t xml:space="preserve">,                            </w:t>
      </w:r>
      <w:r>
        <w:rPr>
          <w:rFonts w:eastAsiaTheme="minorHAnsi"/>
          <w:b/>
          <w:sz w:val="22"/>
          <w:szCs w:val="22"/>
          <w:lang w:val="pt-BR"/>
        </w:rPr>
        <w:t>CONTRASEMNEAZĂ PENTRU LEGALITATE,</w:t>
      </w:r>
    </w:p>
    <w:p>
      <w:pPr>
        <w:rPr>
          <w:rFonts w:eastAsiaTheme="minorHAnsi"/>
          <w:b/>
          <w:sz w:val="22"/>
          <w:szCs w:val="22"/>
          <w:lang w:val="pt-BR"/>
        </w:rPr>
      </w:pPr>
      <w:r>
        <w:rPr>
          <w:rFonts w:eastAsiaTheme="minorHAnsi"/>
          <w:b/>
          <w:sz w:val="22"/>
          <w:szCs w:val="22"/>
          <w:lang w:val="pt-BR"/>
        </w:rPr>
        <w:t xml:space="preserve">      CONSILIER LOCAL,                                       SECRETAR GENERAL UATC GRĂDIȘTEA,</w:t>
      </w:r>
    </w:p>
    <w:p>
      <w:pPr>
        <w:rPr>
          <w:rFonts w:eastAsiaTheme="minorHAnsi"/>
          <w:sz w:val="22"/>
          <w:szCs w:val="22"/>
          <w:lang w:val="pt-BR"/>
        </w:rPr>
      </w:pPr>
      <w:r>
        <w:rPr>
          <w:rFonts w:eastAsiaTheme="minorHAnsi"/>
          <w:sz w:val="22"/>
          <w:szCs w:val="22"/>
          <w:lang w:val="pt-BR"/>
        </w:rPr>
        <w:t xml:space="preserve">           G</w:t>
      </w:r>
      <w:r>
        <w:rPr>
          <w:rFonts w:eastAsiaTheme="minorHAnsi"/>
          <w:sz w:val="22"/>
          <w:szCs w:val="22"/>
        </w:rPr>
        <w:t xml:space="preserve">ÎNGU Gabriel                                                            </w:t>
      </w:r>
      <w:r>
        <w:rPr>
          <w:rFonts w:eastAsiaTheme="minorHAnsi"/>
          <w:i/>
          <w:sz w:val="22"/>
          <w:szCs w:val="22"/>
          <w:lang w:val="pt-BR"/>
        </w:rPr>
        <w:t>jurist</w:t>
      </w:r>
      <w:r>
        <w:rPr>
          <w:rFonts w:eastAsiaTheme="minorHAnsi"/>
          <w:sz w:val="22"/>
          <w:szCs w:val="22"/>
          <w:lang w:val="pt-BR"/>
        </w:rPr>
        <w:t xml:space="preserve"> COCOȘ-BARBU Milemtina</w:t>
      </w:r>
    </w:p>
    <w:p>
      <w:pPr>
        <w:rPr>
          <w:rFonts w:eastAsiaTheme="minorHAnsi"/>
          <w:sz w:val="22"/>
          <w:szCs w:val="22"/>
          <w:lang w:val="pt-BR"/>
        </w:rPr>
      </w:pPr>
    </w:p>
    <w:p>
      <w:pPr>
        <w:rPr>
          <w:rFonts w:eastAsiaTheme="minorHAnsi"/>
          <w:sz w:val="22"/>
          <w:szCs w:val="22"/>
          <w:lang w:val="pt-BR"/>
        </w:rPr>
      </w:pPr>
    </w:p>
    <w:p>
      <w:pPr>
        <w:rPr>
          <w:rFonts w:eastAsiaTheme="minorHAnsi"/>
          <w:sz w:val="22"/>
          <w:szCs w:val="22"/>
          <w:lang w:val="pt-BR"/>
        </w:rPr>
      </w:pPr>
    </w:p>
    <w:p>
      <w:pPr>
        <w:rPr>
          <w:rFonts w:eastAsiaTheme="minorHAnsi"/>
          <w:sz w:val="22"/>
          <w:szCs w:val="22"/>
          <w:lang w:val="pt-BR"/>
        </w:rPr>
      </w:pPr>
    </w:p>
    <w:p>
      <w:pPr>
        <w:rPr>
          <w:rFonts w:eastAsiaTheme="minorHAnsi"/>
          <w:b/>
          <w:sz w:val="22"/>
          <w:szCs w:val="22"/>
          <w:lang w:val="pt-BR"/>
        </w:rPr>
      </w:pPr>
      <w:r>
        <w:rPr>
          <w:rFonts w:eastAsiaTheme="minorHAnsi"/>
          <w:sz w:val="22"/>
          <w:szCs w:val="22"/>
          <w:lang w:val="pt-BR"/>
        </w:rPr>
        <w:t xml:space="preserve"> </w:t>
      </w:r>
      <w:r>
        <w:rPr>
          <w:rFonts w:eastAsiaTheme="minorHAnsi"/>
          <w:b/>
          <w:sz w:val="22"/>
          <w:szCs w:val="22"/>
          <w:lang w:val="pt-BR"/>
        </w:rPr>
        <w:t>Grădiștea, 03 noiembrie 2021</w:t>
      </w:r>
    </w:p>
    <w:p/>
    <w:p>
      <w:pPr>
        <w:jc w:val="both"/>
        <w:rPr>
          <w:sz w:val="28"/>
          <w:szCs w:val="28"/>
          <w:lang w:val="pt-BR"/>
        </w:rPr>
      </w:pPr>
      <w:r>
        <w:rPr>
          <w:sz w:val="28"/>
          <w:szCs w:val="28"/>
          <w:lang w:val="pt-BR"/>
        </w:rPr>
        <w:tab/>
      </w:r>
    </w:p>
    <w:p>
      <w:pPr>
        <w:jc w:val="both"/>
        <w:rPr>
          <w:sz w:val="28"/>
          <w:szCs w:val="28"/>
          <w:lang w:val="pt-BR"/>
        </w:rPr>
      </w:pPr>
    </w:p>
    <w:p>
      <w:pPr>
        <w:jc w:val="both"/>
        <w:rPr>
          <w:sz w:val="28"/>
          <w:szCs w:val="28"/>
          <w:lang w:val="pt-BR"/>
        </w:rPr>
      </w:pPr>
    </w:p>
    <w:p>
      <w:pPr>
        <w:jc w:val="both"/>
        <w:rPr>
          <w:sz w:val="28"/>
          <w:szCs w:val="28"/>
          <w:lang w:val="pt-BR"/>
        </w:rPr>
      </w:pPr>
    </w:p>
    <w:p>
      <w:pPr>
        <w:jc w:val="both"/>
        <w:rPr>
          <w:sz w:val="28"/>
          <w:szCs w:val="28"/>
          <w:lang w:val="pt-BR"/>
        </w:rPr>
      </w:pPr>
      <w:bookmarkStart w:id="0" w:name="_GoBack"/>
      <w:bookmarkEnd w:id="0"/>
    </w:p>
    <w:p>
      <w:pPr>
        <w:rPr>
          <w:rFonts w:eastAsiaTheme="minorHAnsi"/>
          <w:b/>
          <w:sz w:val="22"/>
          <w:szCs w:val="22"/>
          <w:lang w:val="pt-BR"/>
        </w:rPr>
      </w:pPr>
    </w:p>
    <w:p>
      <w:pPr>
        <w:rPr>
          <w:b/>
          <w:sz w:val="28"/>
          <w:szCs w:val="28"/>
          <w:lang w:val="fr-FR" w:eastAsia="en-US"/>
        </w:rPr>
      </w:pPr>
    </w:p>
    <w:p>
      <w:pPr>
        <w:rPr>
          <w:b/>
          <w:sz w:val="28"/>
          <w:szCs w:val="28"/>
          <w:lang w:val="fr-FR" w:eastAsia="en-US"/>
        </w:rPr>
      </w:pPr>
    </w:p>
    <w:p>
      <w:pPr>
        <w:rPr>
          <w:b/>
          <w:sz w:val="28"/>
          <w:szCs w:val="28"/>
          <w:lang w:val="fr-FR" w:eastAsia="en-US"/>
        </w:rPr>
      </w:pPr>
    </w:p>
    <w:tbl>
      <w:tblPr>
        <w:tblStyle w:val="12"/>
        <w:tblW w:w="0" w:type="auto"/>
        <w:tblCellSpacing w:w="15" w:type="dxa"/>
        <w:tblInd w:w="0" w:type="dxa"/>
        <w:tblLayout w:type="autofit"/>
        <w:tblCellMar>
          <w:top w:w="15" w:type="dxa"/>
          <w:left w:w="15" w:type="dxa"/>
          <w:bottom w:w="15" w:type="dxa"/>
          <w:right w:w="15" w:type="dxa"/>
        </w:tblCellMar>
      </w:tblPr>
      <w:tblGrid>
        <w:gridCol w:w="350"/>
        <w:gridCol w:w="5869"/>
        <w:gridCol w:w="1365"/>
        <w:gridCol w:w="2148"/>
      </w:tblGrid>
      <w:tr>
        <w:tblPrEx>
          <w:tblCellMar>
            <w:top w:w="15" w:type="dxa"/>
            <w:left w:w="15" w:type="dxa"/>
            <w:bottom w:w="15" w:type="dxa"/>
            <w:right w:w="15" w:type="dxa"/>
          </w:tblCellMar>
        </w:tblPrEx>
        <w:trPr>
          <w:tblCellSpacing w:w="15" w:type="dxa"/>
        </w:trPr>
        <w:tc>
          <w:tcPr>
            <w:tcW w:w="0" w:type="auto"/>
            <w:gridSpan w:val="4"/>
            <w:tcBorders>
              <w:top w:val="outset" w:color="000000" w:sz="8" w:space="0"/>
              <w:left w:val="outset" w:color="000000" w:sz="8" w:space="0"/>
              <w:bottom w:val="outset" w:color="000000" w:sz="8" w:space="0"/>
              <w:right w:val="outset" w:color="000000" w:sz="8" w:space="0"/>
            </w:tcBorders>
            <w:shd w:val="clear" w:color="auto" w:fill="auto"/>
            <w:vAlign w:val="center"/>
          </w:tcPr>
          <w:p>
            <w:pPr>
              <w:jc w:val="center"/>
              <w:rPr>
                <w:sz w:val="18"/>
                <w:szCs w:val="18"/>
              </w:rPr>
            </w:pPr>
            <w:r>
              <w:rPr>
                <w:sz w:val="18"/>
                <w:szCs w:val="18"/>
              </w:rPr>
              <w:t>PROCEDURI OBLIGATORII ULTERIOARE ADOPTARII HOTARARII CONSILIULUI LOCAL NR. 45/03.11.2021</w:t>
            </w:r>
            <w:r>
              <w:rPr>
                <w:sz w:val="18"/>
                <w:szCs w:val="18"/>
                <w:vertAlign w:val="superscript"/>
              </w:rPr>
              <w:t>1</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Nr. crt.</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Operatiuni efectuate</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Data ZZ/LL/AN</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Semnatura persoanei responsabile sa efectueze procedura</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0</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1</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2</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3</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1</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Adoptarea hotararii</w:t>
            </w:r>
            <w:r>
              <w:rPr>
                <w:sz w:val="18"/>
                <w:szCs w:val="18"/>
                <w:vertAlign w:val="superscript"/>
              </w:rPr>
              <w:t>1</w:t>
            </w:r>
            <w:r>
              <w:rPr>
                <w:sz w:val="18"/>
                <w:szCs w:val="18"/>
              </w:rPr>
              <w:t>) s-a facut cu majoritate  </w:t>
            </w:r>
            <w:r>
              <w:rPr>
                <w:b/>
                <w:sz w:val="18"/>
                <w:szCs w:val="18"/>
              </w:rPr>
              <w:t>X simpla</w:t>
            </w:r>
            <w:r>
              <w:rPr>
                <w:sz w:val="18"/>
                <w:szCs w:val="18"/>
              </w:rPr>
              <w:t>   □  absoluta  □ calificata</w:t>
            </w:r>
            <w:r>
              <w:rPr>
                <w:sz w:val="18"/>
                <w:szCs w:val="18"/>
                <w:vertAlign w:val="superscript"/>
              </w:rPr>
              <w:t>2</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03.11.2021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2</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Comunicarea catre primar</w:t>
            </w:r>
            <w:r>
              <w:rPr>
                <w:sz w:val="18"/>
                <w:szCs w:val="18"/>
                <w:vertAlign w:val="superscript"/>
              </w:rPr>
              <w:t>2</w:t>
            </w:r>
            <w:r>
              <w:rPr>
                <w:sz w:val="18"/>
                <w:szCs w:val="18"/>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04.11.2021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3</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Comunicarea catre prefectul judetului</w:t>
            </w:r>
            <w:r>
              <w:rPr>
                <w:sz w:val="18"/>
                <w:szCs w:val="18"/>
                <w:vertAlign w:val="superscript"/>
              </w:rPr>
              <w:t>3</w:t>
            </w:r>
            <w:r>
              <w:rPr>
                <w:sz w:val="18"/>
                <w:szCs w:val="18"/>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04.11.2021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 </w:t>
            </w:r>
          </w:p>
        </w:tc>
      </w:tr>
      <w:tr>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4</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Aducerea la cunostinta publica</w:t>
            </w:r>
            <w:r>
              <w:rPr>
                <w:sz w:val="18"/>
                <w:szCs w:val="18"/>
                <w:vertAlign w:val="superscript"/>
              </w:rPr>
              <w:t>4</w:t>
            </w:r>
            <w:r>
              <w:rPr>
                <w:sz w:val="18"/>
                <w:szCs w:val="18"/>
              </w:rPr>
              <w:t>)+</w:t>
            </w:r>
            <w:r>
              <w:rPr>
                <w:sz w:val="18"/>
                <w:szCs w:val="18"/>
                <w:vertAlign w:val="superscript"/>
              </w:rPr>
              <w:t>5</w:t>
            </w:r>
            <w:r>
              <w:rPr>
                <w:sz w:val="18"/>
                <w:szCs w:val="18"/>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05.11.2021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5</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Comunicarea, numai in cazul celei cu caracter individual</w:t>
            </w:r>
            <w:r>
              <w:rPr>
                <w:sz w:val="18"/>
                <w:szCs w:val="18"/>
                <w:vertAlign w:val="superscript"/>
              </w:rPr>
              <w:t>4</w:t>
            </w:r>
            <w:r>
              <w:rPr>
                <w:sz w:val="18"/>
                <w:szCs w:val="18"/>
              </w:rPr>
              <w:t>)+</w:t>
            </w:r>
            <w:r>
              <w:rPr>
                <w:sz w:val="18"/>
                <w:szCs w:val="18"/>
                <w:vertAlign w:val="superscript"/>
              </w:rPr>
              <w:t>5</w:t>
            </w:r>
            <w:r>
              <w:rPr>
                <w:sz w:val="18"/>
                <w:szCs w:val="18"/>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05.11.2021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6</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Hotararea devine obligatorie</w:t>
            </w:r>
            <w:r>
              <w:rPr>
                <w:sz w:val="18"/>
                <w:szCs w:val="18"/>
                <w:vertAlign w:val="superscript"/>
              </w:rPr>
              <w:t>6</w:t>
            </w:r>
            <w:r>
              <w:rPr>
                <w:sz w:val="18"/>
                <w:szCs w:val="18"/>
              </w:rPr>
              <w:t>) sau produce efecte juridice</w:t>
            </w:r>
            <w:r>
              <w:rPr>
                <w:sz w:val="18"/>
                <w:szCs w:val="18"/>
                <w:vertAlign w:val="superscript"/>
              </w:rPr>
              <w:t>7</w:t>
            </w:r>
            <w:r>
              <w:rPr>
                <w:sz w:val="18"/>
                <w:szCs w:val="18"/>
              </w:rPr>
              <w:t>), dupa caz</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05.11.2021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 </w:t>
            </w:r>
          </w:p>
        </w:tc>
      </w:tr>
      <w:tr>
        <w:tblPrEx>
          <w:tblCellMar>
            <w:top w:w="15" w:type="dxa"/>
            <w:left w:w="15" w:type="dxa"/>
            <w:bottom w:w="15" w:type="dxa"/>
            <w:right w:w="15" w:type="dxa"/>
          </w:tblCellMar>
        </w:tblPrEx>
        <w:trPr>
          <w:tblCellSpacing w:w="15" w:type="dxa"/>
        </w:trPr>
        <w:tc>
          <w:tcPr>
            <w:tcW w:w="0" w:type="auto"/>
            <w:gridSpan w:val="4"/>
            <w:tcBorders>
              <w:top w:val="outset" w:color="000000" w:sz="8" w:space="0"/>
              <w:left w:val="outset" w:color="000000" w:sz="8" w:space="0"/>
              <w:bottom w:val="outset" w:color="000000" w:sz="8" w:space="0"/>
              <w:right w:val="outset" w:color="000000" w:sz="8" w:space="0"/>
            </w:tcBorders>
            <w:shd w:val="clear" w:color="auto" w:fill="auto"/>
            <w:vAlign w:val="center"/>
          </w:tcPr>
          <w:p>
            <w:pPr>
              <w:rPr>
                <w:sz w:val="18"/>
                <w:szCs w:val="18"/>
              </w:rPr>
            </w:pPr>
            <w:r>
              <w:rPr>
                <w:sz w:val="18"/>
                <w:szCs w:val="18"/>
              </w:rPr>
              <w:t xml:space="preserve">Extrase din Ordonanta de urgenta a Guvernului </w:t>
            </w:r>
            <w:r>
              <w:fldChar w:fldCharType="begin"/>
            </w:r>
            <w:r>
              <w:instrText xml:space="preserve"> HYPERLINK "https://program-legislatie.ro/" \l "/view/00571803.19-20210203-SJ6Gw4I9dgd" </w:instrText>
            </w:r>
            <w:r>
              <w:fldChar w:fldCharType="separate"/>
            </w:r>
            <w:r>
              <w:rPr>
                <w:color w:val="0000FF"/>
                <w:sz w:val="18"/>
                <w:szCs w:val="18"/>
                <w:u w:val="single"/>
              </w:rPr>
              <w:t>nr. 57/2019</w:t>
            </w:r>
            <w:r>
              <w:rPr>
                <w:color w:val="0000FF"/>
                <w:sz w:val="18"/>
                <w:szCs w:val="18"/>
                <w:u w:val="single"/>
              </w:rPr>
              <w:fldChar w:fldCharType="end"/>
            </w:r>
            <w:r>
              <w:rPr>
                <w:sz w:val="18"/>
                <w:szCs w:val="18"/>
              </w:rPr>
              <w:t xml:space="preserve"> privind Codul administrativ, cu modificarile si completarile ulterioare: </w:t>
            </w:r>
          </w:p>
          <w:p>
            <w:pPr>
              <w:rPr>
                <w:sz w:val="18"/>
                <w:szCs w:val="18"/>
              </w:rPr>
            </w:pPr>
            <w:r>
              <w:rPr>
                <w:sz w:val="18"/>
                <w:szCs w:val="18"/>
                <w:vertAlign w:val="superscript"/>
              </w:rPr>
              <w:t>1</w:t>
            </w:r>
            <w:r>
              <w:rPr>
                <w:sz w:val="18"/>
                <w:szCs w:val="18"/>
              </w:rPr>
              <w:t>) Art. 139 alin. (1): „In exercitarea atributiilor ce ii revin, consiliul local adopta hotarari, cu majoritate absoluta sau simpla, dupa caz.</w:t>
            </w:r>
            <w:r>
              <w:rPr>
                <w:sz w:val="18"/>
                <w:szCs w:val="18"/>
              </w:rPr>
              <w:br w:type="textWrapping"/>
            </w:r>
            <w:r>
              <w:rPr>
                <w:sz w:val="18"/>
                <w:szCs w:val="18"/>
              </w:rPr>
              <w:t>(2) Prin exceptie de la prevederile alin. (1), hotararile privind dobandirea sau instrainarea dreptului de proprietate in cazul bunurilor imobile se adopta de consiliul local cu majoritatea calificata definita la art. 5 lit. dd), de doua treimi din numarul consilierilor locali in functie.“</w:t>
            </w:r>
            <w:r>
              <w:rPr>
                <w:sz w:val="18"/>
                <w:szCs w:val="18"/>
              </w:rPr>
              <w:br w:type="textWrapping"/>
            </w:r>
            <w:r>
              <w:rPr>
                <w:sz w:val="18"/>
                <w:szCs w:val="18"/>
                <w:vertAlign w:val="superscript"/>
              </w:rPr>
              <w:t>2</w:t>
            </w:r>
            <w:r>
              <w:rPr>
                <w:sz w:val="18"/>
                <w:szCs w:val="18"/>
              </w:rPr>
              <w:t>) Art. 197 alin. (2): „Hotararile consiliului local se comunica primarului.“</w:t>
            </w:r>
            <w:r>
              <w:rPr>
                <w:sz w:val="18"/>
                <w:szCs w:val="18"/>
              </w:rPr>
              <w:br w:type="textWrapping"/>
            </w:r>
            <w:r>
              <w:rPr>
                <w:sz w:val="18"/>
                <w:szCs w:val="18"/>
                <w:vertAlign w:val="superscript"/>
              </w:rPr>
              <w:t>3</w:t>
            </w:r>
            <w:r>
              <w:rPr>
                <w:sz w:val="18"/>
                <w:szCs w:val="18"/>
              </w:rPr>
              <w:t>) Art. 197 alin. (1), adaptat: Secretarul general al comunei comunica hotararile consiliului local al comunei prefectului in cel mult 10 zile lucratoare de la data adoptarii ...</w:t>
            </w:r>
            <w:r>
              <w:rPr>
                <w:sz w:val="18"/>
                <w:szCs w:val="18"/>
              </w:rPr>
              <w:br w:type="textWrapping"/>
            </w:r>
            <w:r>
              <w:rPr>
                <w:sz w:val="18"/>
                <w:szCs w:val="18"/>
                <w:vertAlign w:val="superscript"/>
              </w:rPr>
              <w:t>4</w:t>
            </w:r>
            <w:r>
              <w:rPr>
                <w:sz w:val="18"/>
                <w:szCs w:val="18"/>
              </w:rPr>
              <w:t>) Art. 197 alin. (4): „Hotararile … se aduc la cunostinta publica si se comunica, in conditiile legii, prin grija secretarului general al comunei.“</w:t>
            </w:r>
            <w:r>
              <w:rPr>
                <w:sz w:val="18"/>
                <w:szCs w:val="18"/>
              </w:rPr>
              <w:br w:type="textWrapping"/>
            </w:r>
            <w:r>
              <w:rPr>
                <w:sz w:val="18"/>
                <w:szCs w:val="18"/>
                <w:vertAlign w:val="superscript"/>
              </w:rPr>
              <w:t>5</w:t>
            </w:r>
            <w:r>
              <w:rPr>
                <w:sz w:val="18"/>
                <w:szCs w:val="18"/>
              </w:rPr>
              <w:t>) Art. 199 alin. (1): „Comunicarea hotararilor … cu caracter individual catre persoanele carora li se adreseaza se face in cel mult 5 zile de la data comunicarii oficiale catre prefect.“</w:t>
            </w:r>
            <w:r>
              <w:rPr>
                <w:sz w:val="18"/>
                <w:szCs w:val="18"/>
              </w:rPr>
              <w:br w:type="textWrapping"/>
            </w:r>
            <w:r>
              <w:rPr>
                <w:sz w:val="18"/>
                <w:szCs w:val="18"/>
                <w:vertAlign w:val="superscript"/>
              </w:rPr>
              <w:t>6</w:t>
            </w:r>
            <w:r>
              <w:rPr>
                <w:sz w:val="18"/>
                <w:szCs w:val="18"/>
              </w:rPr>
              <w:t>) Art. 198 alin. (1): „Hotararile … cu caracter normativ devin obligatorii de la data aducerii lor la cunostinta publica.“</w:t>
            </w:r>
            <w:r>
              <w:rPr>
                <w:sz w:val="18"/>
                <w:szCs w:val="18"/>
              </w:rPr>
              <w:br w:type="textWrapping"/>
            </w:r>
            <w:r>
              <w:rPr>
                <w:sz w:val="18"/>
                <w:szCs w:val="18"/>
                <w:vertAlign w:val="superscript"/>
              </w:rPr>
              <w:t>7</w:t>
            </w:r>
            <w:r>
              <w:rPr>
                <w:sz w:val="18"/>
                <w:szCs w:val="18"/>
              </w:rPr>
              <w:t>) Art. 199 alin. (2): „Hotararile … cu caracter individual produc efecte juridice de la data comunicarii catre persoanele carora li se adreseaza.“</w:t>
            </w:r>
          </w:p>
        </w:tc>
      </w:tr>
    </w:tbl>
    <w:p>
      <w:pPr>
        <w:rPr>
          <w:sz w:val="18"/>
          <w:szCs w:val="18"/>
        </w:rPr>
      </w:pPr>
      <w:r>
        <w:rPr>
          <w:sz w:val="18"/>
          <w:szCs w:val="18"/>
          <w:vertAlign w:val="superscript"/>
        </w:rPr>
        <w:t> _____________</w:t>
      </w:r>
    </w:p>
    <w:p>
      <w:pPr>
        <w:rPr>
          <w:sz w:val="18"/>
          <w:szCs w:val="18"/>
        </w:rPr>
      </w:pPr>
      <w:r>
        <w:rPr>
          <w:sz w:val="18"/>
          <w:szCs w:val="18"/>
          <w:vertAlign w:val="superscript"/>
        </w:rPr>
        <w:t>   1</w:t>
      </w:r>
      <w:r>
        <w:rPr>
          <w:sz w:val="18"/>
          <w:szCs w:val="18"/>
        </w:rPr>
        <w:t xml:space="preserve"> Se completeaza cu numarul si anul hotararii consiliului local.</w:t>
      </w:r>
      <w:r>
        <w:rPr>
          <w:sz w:val="18"/>
          <w:szCs w:val="18"/>
        </w:rPr>
        <w:br w:type="textWrapping"/>
      </w:r>
      <w:r>
        <w:rPr>
          <w:sz w:val="18"/>
          <w:szCs w:val="18"/>
          <w:vertAlign w:val="superscript"/>
        </w:rPr>
        <w:t>   2</w:t>
      </w:r>
      <w:r>
        <w:rPr>
          <w:sz w:val="18"/>
          <w:szCs w:val="18"/>
        </w:rPr>
        <w:t xml:space="preserve"> Se bifeaza tipul de majoritate cu care s-a adoptat hotararea consiliului local.</w:t>
      </w:r>
    </w:p>
    <w:p>
      <w:pPr>
        <w:suppressAutoHyphens/>
        <w:rPr>
          <w:lang w:val="en-US" w:eastAsia="zh-CN"/>
        </w:rPr>
      </w:pPr>
    </w:p>
    <w:p>
      <w:pPr>
        <w:jc w:val="both"/>
        <w:rPr>
          <w:sz w:val="28"/>
          <w:szCs w:val="28"/>
          <w:lang w:val="pt-BR"/>
        </w:rPr>
      </w:pPr>
      <w:r>
        <w:rPr>
          <w:sz w:val="28"/>
          <w:szCs w:val="28"/>
          <w:lang w:val="pt-BR"/>
        </w:rPr>
        <w:tab/>
      </w:r>
    </w:p>
    <w:p>
      <w:pPr>
        <w:jc w:val="both"/>
        <w:rPr>
          <w:sz w:val="28"/>
          <w:szCs w:val="28"/>
          <w:lang w:val="pt-BR"/>
        </w:rPr>
      </w:pPr>
    </w:p>
    <w:p/>
    <w:p/>
    <w:p/>
    <w:p/>
    <w:p/>
    <w:p/>
    <w:p/>
    <w:p>
      <w:pPr>
        <w:jc w:val="both"/>
        <w:rPr>
          <w:sz w:val="28"/>
          <w:szCs w:val="28"/>
          <w:lang w:val="pt-BR"/>
        </w:rPr>
      </w:pPr>
    </w:p>
    <w:p>
      <w:pPr>
        <w:jc w:val="both"/>
        <w:rPr>
          <w:sz w:val="28"/>
          <w:szCs w:val="28"/>
          <w:lang w:val="pt-BR"/>
        </w:rPr>
      </w:pPr>
    </w:p>
    <w:p>
      <w:pPr>
        <w:rPr>
          <w:rFonts w:eastAsiaTheme="minorHAnsi"/>
          <w:b/>
          <w:sz w:val="22"/>
          <w:szCs w:val="22"/>
          <w:lang w:val="pt-BR"/>
        </w:rPr>
      </w:pPr>
    </w:p>
    <w:p>
      <w:pPr>
        <w:rPr>
          <w:rFonts w:eastAsiaTheme="minorHAnsi"/>
          <w:b/>
          <w:sz w:val="22"/>
          <w:szCs w:val="22"/>
          <w:lang w:val="pt-BR"/>
        </w:rPr>
      </w:pPr>
    </w:p>
    <w:p>
      <w:pPr>
        <w:rPr>
          <w:rFonts w:eastAsiaTheme="minorHAnsi"/>
          <w:b/>
          <w:sz w:val="22"/>
          <w:szCs w:val="22"/>
          <w:lang w:val="pt-BR"/>
        </w:rPr>
      </w:pPr>
    </w:p>
    <w:p>
      <w:pPr>
        <w:rPr>
          <w:rFonts w:eastAsiaTheme="minorHAnsi"/>
          <w:b/>
          <w:sz w:val="22"/>
          <w:szCs w:val="22"/>
          <w:lang w:val="pt-BR"/>
        </w:rPr>
      </w:pPr>
    </w:p>
    <w:p>
      <w:pPr>
        <w:rPr>
          <w:rFonts w:eastAsiaTheme="minorHAnsi"/>
          <w:b/>
          <w:sz w:val="22"/>
          <w:szCs w:val="22"/>
          <w:lang w:val="pt-BR"/>
        </w:rPr>
      </w:pPr>
    </w:p>
    <w:p>
      <w:pPr>
        <w:rPr>
          <w:rFonts w:eastAsiaTheme="minorHAnsi"/>
          <w:b/>
          <w:sz w:val="22"/>
          <w:szCs w:val="22"/>
          <w:lang w:val="pt-BR"/>
        </w:rPr>
      </w:pPr>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72EA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CB42461"/>
    <w:rsid w:val="70A72EA7"/>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2021-11-08T12:15:00Z</dcterms:created>
  <dc:creator>Liv</dc:creator>
  <cp:lastModifiedBy>Liv</cp:lastModifiedBy>
  <dcterms:modified xsi:type="dcterms:W3CDTF">2021-11-08T12:16:39Z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9F0F3DBA57FA43E7BEC8B8F1FA496053</vt:lpwstr>
  </property>
</Properties>
</file>