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  <w:lang w:val="fr-FR"/>
        </w:rPr>
      </w:pPr>
      <w:bookmarkStart w:id="0" w:name="_GoBack"/>
      <w:bookmarkEnd w:id="0"/>
    </w:p>
    <w:p>
      <w:pPr>
        <w:jc w:val="both"/>
        <w:rPr>
          <w:sz w:val="28"/>
          <w:szCs w:val="28"/>
          <w:lang w:val="fr-FR"/>
        </w:rPr>
      </w:pPr>
      <w:r>
        <w:rPr>
          <w:b/>
          <w:i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113030</wp:posOffset>
            </wp:positionV>
            <wp:extent cx="823595" cy="1287145"/>
            <wp:effectExtent l="0" t="0" r="14605" b="8255"/>
            <wp:wrapNone/>
            <wp:docPr id="22" name="Picture 22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tema_201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-900"/>
        <w:jc w:val="center"/>
        <w:rPr>
          <w:b/>
          <w:i/>
          <w:sz w:val="28"/>
          <w:szCs w:val="28"/>
          <w:lang w:val="pt-BR" w:eastAsia="en-US"/>
        </w:rPr>
      </w:pPr>
      <w:r>
        <w:rPr>
          <w:b/>
          <w:i/>
          <w:sz w:val="28"/>
          <w:szCs w:val="28"/>
          <w:lang w:val="pt-BR" w:eastAsia="en-US"/>
        </w:rPr>
        <w:t xml:space="preserve">- </w:t>
      </w:r>
      <w:r>
        <w:rPr>
          <w:b/>
          <w:sz w:val="28"/>
          <w:szCs w:val="28"/>
          <w:lang w:val="pt-BR" w:eastAsia="en-US"/>
        </w:rPr>
        <w:t>CONSILIUL  LOCAL</w:t>
      </w:r>
      <w:r>
        <w:rPr>
          <w:b/>
          <w:i/>
          <w:sz w:val="28"/>
          <w:szCs w:val="28"/>
          <w:lang w:val="pt-BR" w:eastAsia="en-US"/>
        </w:rPr>
        <w:t xml:space="preserve"> -</w:t>
      </w:r>
    </w:p>
    <w:p>
      <w:pPr>
        <w:ind w:right="-900"/>
        <w:jc w:val="center"/>
        <w:rPr>
          <w:b/>
          <w:i/>
          <w:sz w:val="28"/>
          <w:szCs w:val="28"/>
          <w:lang w:val="pt-BR" w:eastAsia="en-US"/>
        </w:rPr>
      </w:pPr>
      <w:r>
        <w:rPr>
          <w:sz w:val="28"/>
          <w:szCs w:val="28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16510</wp:posOffset>
            </wp:positionV>
            <wp:extent cx="1028700" cy="803910"/>
            <wp:effectExtent l="0" t="0" r="15240" b="0"/>
            <wp:wrapNone/>
            <wp:docPr id="23" name="Picture 23" descr="http://dli.ro/wp-content/uploads/2011/08/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http://dli.ro/wp-content/uploads/2011/08/u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87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  <w:lang w:val="pt-BR" w:eastAsia="en-US"/>
        </w:rPr>
        <w:t>Comuna Grădiştea, Judeţul Vîlcea</w:t>
      </w:r>
    </w:p>
    <w:p>
      <w:pPr>
        <w:ind w:right="-900"/>
        <w:jc w:val="center"/>
        <w:rPr>
          <w:b/>
          <w:i/>
          <w:sz w:val="28"/>
          <w:szCs w:val="28"/>
          <w:lang w:val="fr-FR" w:eastAsia="en-US"/>
        </w:rPr>
      </w:pPr>
      <w:r>
        <w:rPr>
          <w:b/>
          <w:i/>
          <w:sz w:val="28"/>
          <w:szCs w:val="28"/>
          <w:lang w:val="fr-FR" w:eastAsia="en-US"/>
        </w:rPr>
        <w:t>Tel:0250/867072 ; Tel/ Fax : 0250/867009</w:t>
      </w:r>
    </w:p>
    <w:p>
      <w:pPr>
        <w:ind w:right="89"/>
        <w:jc w:val="center"/>
        <w:rPr>
          <w:b/>
          <w:i/>
          <w:color w:val="000000"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 xml:space="preserve">              e-mail: </w:t>
      </w:r>
      <w:r>
        <w:rPr>
          <w:b/>
          <w:i/>
          <w:color w:val="000000"/>
          <w:sz w:val="28"/>
          <w:szCs w:val="28"/>
          <w:lang w:val="fr-FR"/>
        </w:rPr>
        <w:t>gradistea@vl.e-adm.ro</w:t>
      </w:r>
    </w:p>
    <w:p>
      <w:pPr>
        <w:ind w:right="-900"/>
        <w:jc w:val="center"/>
        <w:rPr>
          <w:b/>
          <w:color w:val="0563C1" w:themeColor="hyperlink"/>
          <w:sz w:val="28"/>
          <w:szCs w:val="28"/>
          <w:u w:val="single"/>
          <w:lang w:val="fr-FR" w:eastAsia="en-US"/>
          <w14:textFill>
            <w14:solidFill>
              <w14:schemeClr w14:val="hlink"/>
            </w14:solidFill>
          </w14:textFill>
        </w:rPr>
      </w:pPr>
      <w:r>
        <w:fldChar w:fldCharType="begin"/>
      </w:r>
      <w:r>
        <w:instrText xml:space="preserve"> HYPERLINK "http://www.primariagradisteavalcea.ro" </w:instrText>
      </w:r>
      <w:r>
        <w:fldChar w:fldCharType="separate"/>
      </w:r>
      <w:r>
        <w:rPr>
          <w:b/>
          <w:color w:val="0563C1" w:themeColor="hyperlink"/>
          <w:sz w:val="28"/>
          <w:szCs w:val="28"/>
          <w:u w:val="single"/>
          <w:lang w:val="fr-FR" w:eastAsia="en-US"/>
          <w14:textFill>
            <w14:solidFill>
              <w14:schemeClr w14:val="hlink"/>
            </w14:solidFill>
          </w14:textFill>
        </w:rPr>
        <w:t>www.primariagradisteavalcea.ro</w:t>
      </w:r>
      <w:r>
        <w:rPr>
          <w:b/>
          <w:color w:val="0563C1" w:themeColor="hyperlink"/>
          <w:sz w:val="28"/>
          <w:szCs w:val="28"/>
          <w:u w:val="single"/>
          <w:lang w:val="fr-FR" w:eastAsia="en-US"/>
          <w14:textFill>
            <w14:solidFill>
              <w14:schemeClr w14:val="hlink"/>
            </w14:solidFill>
          </w14:textFill>
        </w:rPr>
        <w:fldChar w:fldCharType="end"/>
      </w:r>
      <w:r>
        <w:rPr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7204075</wp:posOffset>
            </wp:positionH>
            <wp:positionV relativeFrom="paragraph">
              <wp:posOffset>6350</wp:posOffset>
            </wp:positionV>
            <wp:extent cx="1511300" cy="1162050"/>
            <wp:effectExtent l="0" t="0" r="1270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8089900</wp:posOffset>
            </wp:positionH>
            <wp:positionV relativeFrom="paragraph">
              <wp:posOffset>6350</wp:posOffset>
            </wp:positionV>
            <wp:extent cx="800100" cy="10287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8"/>
          <w:szCs w:val="28"/>
          <w:lang w:val="pt-BR" w:eastAsia="en-US"/>
        </w:rPr>
      </w:pPr>
      <w:r>
        <w:rPr>
          <w:b/>
          <w:color w:val="000000"/>
          <w:sz w:val="28"/>
          <w:szCs w:val="28"/>
          <w:lang w:val="en-US" w:eastAsia="en-US"/>
        </w:rPr>
        <w:pict>
          <v:shape id="_x0000_i1025" o:spt="75" type="#_x0000_t75" style="height:31pt;width:497pt;" filled="f" o:preferrelative="t" stroked="f" coordsize="21600,21600" o:hr="t" o:hrpct="0">
            <v:path/>
            <v:fill on="f" focussize="0,0"/>
            <v:stroke on="f" joinstyle="miter"/>
            <v:imagedata r:id="rId11" o:title="BD14845_"/>
            <o:lock v:ext="edit" aspectratio="t"/>
            <w10:wrap type="none"/>
            <w10:anchorlock/>
          </v:shape>
        </w:pict>
      </w:r>
    </w:p>
    <w:p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H O T Ă R Â R E A  Nr. 33</w:t>
      </w:r>
    </w:p>
    <w:p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Privind desemnarea unui reprezentant al Consiliului Local Grădiștea de a face parte din Consiliul de Administratie al Liceului Teoretic, comuna Grădiștea, judetul Valcea, în anul școlar 2021-2022</w:t>
      </w:r>
    </w:p>
    <w:p>
      <w:pPr>
        <w:rPr>
          <w:b/>
          <w:sz w:val="28"/>
          <w:szCs w:val="28"/>
          <w:lang w:val="pt-BR"/>
        </w:rPr>
      </w:pPr>
    </w:p>
    <w:p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Consiliul Local Grădiştea, întrunit în şedinta ordinară din data de 31 august 2021, la care participă un număr de 10 consilieri din totalul de 11 consilieri în funcţie ;</w:t>
      </w:r>
    </w:p>
    <w:p>
      <w:pPr>
        <w:ind w:firstLine="720"/>
        <w:jc w:val="both"/>
        <w:rPr>
          <w:sz w:val="28"/>
          <w:szCs w:val="28"/>
          <w:lang w:val="fr-FR" w:eastAsia="en-GB"/>
        </w:rPr>
      </w:pPr>
      <w:r>
        <w:rPr>
          <w:sz w:val="28"/>
          <w:szCs w:val="28"/>
          <w:lang w:val="fr-FR" w:eastAsia="en-GB"/>
        </w:rPr>
        <w:t>Văzând ca potrivit Hotărârii Consiliului Local Grădiștea cu nr. 27/30.07.2021, este ales președinte de ședintă d-nul Dițoiu Ion;</w:t>
      </w:r>
    </w:p>
    <w:p>
      <w:pPr>
        <w:ind w:firstLine="720"/>
        <w:jc w:val="both"/>
        <w:rPr>
          <w:sz w:val="28"/>
          <w:szCs w:val="28"/>
          <w:lang w:val="fr-FR" w:eastAsia="en-GB"/>
        </w:rPr>
      </w:pPr>
      <w:r>
        <w:rPr>
          <w:sz w:val="28"/>
          <w:szCs w:val="28"/>
          <w:lang w:val="fr-FR" w:eastAsia="en-GB"/>
        </w:rPr>
        <w:t>Având în vedere adresa Liceului Teoretic Grădiștea cu nr. 1039/2021 prin care solicită desemnarea unui reprezentant al Consiliului Local Grădiștea pentru a face parte din Consiliul de Administratie al Liceului Teoretic, comuna Grădiștea, în anul școlar 2021-2021;</w:t>
      </w:r>
    </w:p>
    <w:p>
      <w:pPr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fr-FR"/>
        </w:rPr>
        <w:t xml:space="preserve">Luând în discuție </w:t>
      </w:r>
      <w:r>
        <w:rPr>
          <w:sz w:val="28"/>
          <w:szCs w:val="28"/>
          <w:u w:val="single"/>
          <w:lang w:val="fr-FR"/>
        </w:rPr>
        <w:t>referatul de aprobare cu nr. 5482/2021 al cărui semnatar este primarul</w:t>
      </w:r>
      <w:r>
        <w:rPr>
          <w:sz w:val="28"/>
          <w:szCs w:val="28"/>
          <w:lang w:val="fr-FR"/>
        </w:rPr>
        <w:t xml:space="preserve"> comunei Grădiștea asupra proiectului de hotărâre și a </w:t>
      </w:r>
      <w:r>
        <w:rPr>
          <w:sz w:val="28"/>
          <w:szCs w:val="28"/>
          <w:u w:val="single"/>
          <w:lang w:val="fr-FR"/>
        </w:rPr>
        <w:t>raportului întocmit de compartimentul de specialitate din cadrul Primariei Comunei Gradistea cu nr. 5483/2021</w:t>
      </w:r>
      <w:r>
        <w:rPr>
          <w:sz w:val="28"/>
          <w:szCs w:val="28"/>
          <w:lang w:val="fr-FR"/>
        </w:rPr>
        <w:t xml:space="preserve"> prin care propune admiterea proiectului de hotărâre ;</w:t>
      </w:r>
    </w:p>
    <w:p>
      <w:pPr>
        <w:jc w:val="both"/>
        <w:rPr>
          <w:sz w:val="28"/>
          <w:szCs w:val="28"/>
          <w:u w:val="single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Având în vedere </w:t>
      </w:r>
      <w:r>
        <w:rPr>
          <w:sz w:val="28"/>
          <w:szCs w:val="28"/>
          <w:u w:val="single"/>
          <w:lang w:val="fr-FR"/>
        </w:rPr>
        <w:t>rapoartele comisiilor de specialitate ale Consiliului Local al comunei Grădiștea</w:t>
      </w:r>
      <w:r>
        <w:rPr>
          <w:sz w:val="28"/>
          <w:szCs w:val="28"/>
        </w:rPr>
        <w:t xml:space="preserve"> reunite, prin care se propune admiterea proiectului de hotărâre;</w:t>
      </w:r>
    </w:p>
    <w:p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Văzând </w:t>
      </w:r>
      <w:r>
        <w:rPr>
          <w:sz w:val="28"/>
          <w:szCs w:val="28"/>
          <w:u w:val="single"/>
          <w:lang w:val="fr-FR"/>
        </w:rPr>
        <w:t>raportul de avizare a legalității proiectului de hotărâre</w:t>
      </w:r>
      <w:r>
        <w:rPr>
          <w:sz w:val="28"/>
          <w:szCs w:val="28"/>
          <w:lang w:val="fr-FR"/>
        </w:rPr>
        <w:t>, întocmit de secretarul comunei Grădiștea, nr. 5484/2021;</w:t>
      </w:r>
    </w:p>
    <w:p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>În conformitate :</w:t>
      </w:r>
    </w:p>
    <w:p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pt-BR"/>
        </w:rPr>
        <w:t xml:space="preserve">-  prevederile </w:t>
      </w:r>
      <w:r>
        <w:rPr>
          <w:sz w:val="28"/>
          <w:szCs w:val="28"/>
          <w:lang w:val="fr-FR"/>
        </w:rPr>
        <w:t xml:space="preserve">cu art.96, alin.1, alin. 2 din Legea nr. 1/2011 a Educației Naționale;  </w:t>
      </w:r>
    </w:p>
    <w:p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prevederile art. 129, alin.1, alin. 2, lit. d, coroborate cu cele ale alin. 7, lit. a </w:t>
      </w:r>
      <w:r>
        <w:rPr>
          <w:color w:val="000000"/>
          <w:sz w:val="28"/>
          <w:szCs w:val="28"/>
        </w:rPr>
        <w:t>din O.U.G. nr. 57/2019 privind Codul Administrativ</w:t>
      </w:r>
      <w:r>
        <w:rPr>
          <w:sz w:val="28"/>
          <w:szCs w:val="28"/>
          <w:lang w:val="en-US" w:eastAsia="en-US"/>
        </w:rPr>
        <w:t>;</w:t>
      </w:r>
    </w:p>
    <w:p>
      <w:pPr>
        <w:jc w:val="both"/>
        <w:rPr>
          <w:sz w:val="28"/>
          <w:szCs w:val="28"/>
          <w:lang w:val="en-US"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     </w:t>
      </w:r>
      <w:r>
        <w:rPr>
          <w:color w:val="000000"/>
          <w:sz w:val="28"/>
          <w:szCs w:val="28"/>
        </w:rPr>
        <w:t>În temeiul art. 139, alin. (1), alin. 3, lit. A, art.196 alin.(1) lit.a din O.U.G. nr. 57/2019 privind Codul Administrativ</w:t>
      </w:r>
      <w:r>
        <w:rPr>
          <w:sz w:val="28"/>
          <w:szCs w:val="28"/>
          <w:lang w:val="en-US" w:eastAsia="en-US"/>
        </w:rPr>
        <w:t>,</w:t>
      </w:r>
      <w:r>
        <w:rPr>
          <w:sz w:val="28"/>
          <w:szCs w:val="28"/>
          <w:lang w:val="fr-FR"/>
        </w:rPr>
        <w:t xml:space="preserve"> cu un număr de 10 voturi   “pentru”, cu un număr de - voturi   “împotrivă”, cu un număr de 0 voturi   “abțineri”,  adoptă următoarea</w:t>
      </w:r>
      <w:r>
        <w:rPr>
          <w:sz w:val="28"/>
          <w:szCs w:val="28"/>
          <w:lang w:val="en-US"/>
        </w:rPr>
        <w:t>:</w:t>
      </w:r>
    </w:p>
    <w:p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H O T Ă R Â R E</w:t>
      </w:r>
    </w:p>
    <w:p>
      <w:pPr>
        <w:jc w:val="center"/>
        <w:rPr>
          <w:b/>
          <w:sz w:val="28"/>
          <w:szCs w:val="28"/>
          <w:lang w:val="pt-BR"/>
        </w:rPr>
      </w:pPr>
    </w:p>
    <w:p>
      <w:pPr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>Art.1.</w:t>
      </w:r>
      <w:r>
        <w:rPr>
          <w:sz w:val="28"/>
          <w:szCs w:val="28"/>
          <w:lang w:val="pt-BR"/>
        </w:rPr>
        <w:t xml:space="preserve"> Se desemnează domnul consilier local Mihai Constantin-Laurențiu ca  reprezentant al Consiliului Local Grădiștea pentru a face parte din Consiliul de Administrație al Liceului Teoretic, comuna Grădiștea, în anul școlar 2021-2022.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ab/>
      </w:r>
      <w:r>
        <w:rPr>
          <w:b/>
          <w:sz w:val="28"/>
          <w:szCs w:val="28"/>
          <w:lang w:val="fr-FR"/>
        </w:rPr>
        <w:t>Art.2.</w:t>
      </w:r>
      <w:r>
        <w:rPr>
          <w:sz w:val="28"/>
          <w:szCs w:val="28"/>
          <w:lang w:val="fr-FR"/>
        </w:rPr>
        <w:t xml:space="preserve"> Reprezentantul desemnat va participa la ședintele </w:t>
      </w:r>
      <w:r>
        <w:rPr>
          <w:sz w:val="28"/>
          <w:szCs w:val="28"/>
          <w:lang w:val="fr-FR" w:eastAsia="en-GB"/>
        </w:rPr>
        <w:t xml:space="preserve">Consiliul de Administrație al Liceului Teoretic din comuna Grădiștea, lunar, sau ori de cate ori se consideră necesar și va aduce la cunoștința Consiliului Local hotărârile adoptate. </w:t>
      </w: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  <w:lang w:val="pt-BR"/>
        </w:rPr>
      </w:pPr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>
        <w:rPr>
          <w:b/>
          <w:bCs/>
          <w:sz w:val="28"/>
          <w:szCs w:val="28"/>
        </w:rPr>
        <w:t xml:space="preserve">Art. 3. </w:t>
      </w:r>
      <w:r>
        <w:rPr>
          <w:sz w:val="28"/>
          <w:szCs w:val="28"/>
        </w:rPr>
        <w:t xml:space="preserve"> Prezenta hotărâre se comunică, în mod obligatoriu, prin intermediul secretarului general al comunei, în termenul prevăzut de lege:</w:t>
      </w:r>
    </w:p>
    <w:p>
      <w:pPr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primarului comunei;</w:t>
      </w:r>
    </w:p>
    <w:p>
      <w:pPr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prefectului judeţului Vâlcea;</w:t>
      </w:r>
    </w:p>
    <w:p>
      <w:pPr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directorului Liceului Teoretic Grădiștea;</w:t>
      </w:r>
    </w:p>
    <w:p>
      <w:pPr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consilierului local desemnat.</w:t>
      </w:r>
    </w:p>
    <w:p>
      <w:pPr>
        <w:jc w:val="both"/>
        <w:rPr>
          <w:sz w:val="28"/>
          <w:szCs w:val="28"/>
          <w:lang w:val="en-US" w:eastAsia="zh-CN"/>
        </w:rPr>
      </w:pPr>
    </w:p>
    <w:p>
      <w:pPr>
        <w:rPr>
          <w:rFonts w:eastAsiaTheme="minorHAnsi"/>
          <w:sz w:val="28"/>
          <w:szCs w:val="28"/>
          <w:lang w:val="pt-BR" w:eastAsia="en-US"/>
        </w:rPr>
      </w:pPr>
      <w:r>
        <w:rPr>
          <w:rFonts w:eastAsiaTheme="minorHAnsi"/>
          <w:b/>
          <w:sz w:val="28"/>
          <w:szCs w:val="28"/>
          <w:lang w:val="pt-BR" w:eastAsia="en-US"/>
        </w:rPr>
        <w:t xml:space="preserve">  </w:t>
      </w:r>
    </w:p>
    <w:p/>
    <w:p>
      <w:pPr>
        <w:spacing w:line="276" w:lineRule="auto"/>
        <w:rPr>
          <w:rFonts w:ascii="Calibri" w:hAnsi="Calibri" w:cs="Calibri"/>
          <w:sz w:val="22"/>
          <w:szCs w:val="22"/>
          <w:lang w:val="en-US" w:eastAsia="en-US"/>
        </w:rPr>
      </w:pPr>
    </w:p>
    <w:p>
      <w:pPr>
        <w:rPr>
          <w:rFonts w:eastAsiaTheme="minorHAnsi"/>
          <w:color w:val="000000"/>
          <w:sz w:val="22"/>
          <w:szCs w:val="22"/>
          <w:lang w:bidi="ro-RO"/>
        </w:rPr>
      </w:pPr>
      <w:r>
        <w:rPr>
          <w:sz w:val="28"/>
          <w:szCs w:val="28"/>
          <w:lang w:val="fr-FR" w:eastAsia="en-US"/>
        </w:rPr>
        <w:t xml:space="preserve">  </w:t>
      </w:r>
      <w:r>
        <w:rPr>
          <w:b/>
          <w:sz w:val="28"/>
          <w:szCs w:val="28"/>
          <w:lang w:val="pt-BR" w:eastAsia="en-GB"/>
        </w:rPr>
        <w:t xml:space="preserve"> </w:t>
      </w:r>
      <w:r>
        <w:rPr>
          <w:rFonts w:eastAsiaTheme="minorHAnsi"/>
          <w:b/>
          <w:sz w:val="22"/>
          <w:szCs w:val="22"/>
          <w:lang w:val="pt-BR" w:eastAsia="en-GB"/>
        </w:rPr>
        <w:t>PREȘEDINTE DE ȘEDINȚĂ</w:t>
      </w:r>
      <w:r>
        <w:rPr>
          <w:rFonts w:eastAsiaTheme="minorHAnsi"/>
          <w:sz w:val="22"/>
          <w:szCs w:val="22"/>
          <w:lang w:val="pt-BR" w:eastAsia="en-GB"/>
        </w:rPr>
        <w:t xml:space="preserve">,                            </w:t>
      </w:r>
      <w:r>
        <w:rPr>
          <w:rFonts w:eastAsiaTheme="minorHAnsi"/>
          <w:b/>
          <w:sz w:val="22"/>
          <w:szCs w:val="22"/>
          <w:lang w:val="pt-BR" w:eastAsia="en-GB"/>
        </w:rPr>
        <w:t>CONTRASEMNEAZĂ PENTRU LEGALITATE,</w:t>
      </w:r>
    </w:p>
    <w:p>
      <w:pPr>
        <w:rPr>
          <w:rFonts w:eastAsiaTheme="minorHAnsi"/>
          <w:b/>
          <w:sz w:val="22"/>
          <w:szCs w:val="22"/>
          <w:lang w:val="pt-BR" w:eastAsia="en-GB"/>
        </w:rPr>
      </w:pPr>
      <w:r>
        <w:rPr>
          <w:rFonts w:eastAsiaTheme="minorHAnsi"/>
          <w:b/>
          <w:sz w:val="22"/>
          <w:szCs w:val="22"/>
          <w:lang w:val="pt-BR" w:eastAsia="en-GB"/>
        </w:rPr>
        <w:t xml:space="preserve">         CONSILIER LOCAL,                                                           SECRETAR GENERAL,</w:t>
      </w:r>
    </w:p>
    <w:p>
      <w:pPr>
        <w:rPr>
          <w:rFonts w:eastAsiaTheme="minorHAnsi"/>
          <w:sz w:val="22"/>
          <w:szCs w:val="22"/>
          <w:lang w:val="pt-BR" w:eastAsia="en-GB"/>
        </w:rPr>
      </w:pPr>
      <w:r>
        <w:rPr>
          <w:rFonts w:eastAsiaTheme="minorHAnsi"/>
          <w:sz w:val="22"/>
          <w:szCs w:val="22"/>
          <w:lang w:val="pt-BR" w:eastAsia="en-GB"/>
        </w:rPr>
        <w:t xml:space="preserve">               DIȚOIU  Vasile                                                            </w:t>
      </w:r>
      <w:r>
        <w:rPr>
          <w:rFonts w:eastAsiaTheme="minorHAnsi"/>
          <w:i/>
          <w:sz w:val="22"/>
          <w:szCs w:val="22"/>
          <w:lang w:val="pt-BR" w:eastAsia="en-GB"/>
        </w:rPr>
        <w:t>jurist</w:t>
      </w:r>
      <w:r>
        <w:rPr>
          <w:rFonts w:eastAsiaTheme="minorHAnsi"/>
          <w:sz w:val="22"/>
          <w:szCs w:val="22"/>
          <w:lang w:val="pt-BR" w:eastAsia="en-GB"/>
        </w:rPr>
        <w:t xml:space="preserve"> COCOȘ-BARBU Milemtina</w:t>
      </w:r>
    </w:p>
    <w:p>
      <w:pPr>
        <w:rPr>
          <w:rFonts w:eastAsiaTheme="minorHAnsi"/>
          <w:sz w:val="22"/>
          <w:szCs w:val="22"/>
          <w:lang w:val="pt-BR" w:eastAsia="en-GB"/>
        </w:rPr>
      </w:pPr>
    </w:p>
    <w:p>
      <w:pPr>
        <w:rPr>
          <w:rFonts w:eastAsiaTheme="minorHAnsi"/>
          <w:b/>
          <w:sz w:val="22"/>
          <w:szCs w:val="22"/>
          <w:lang w:val="pt-BR" w:eastAsia="en-GB"/>
        </w:rPr>
      </w:pPr>
      <w:r>
        <w:rPr>
          <w:rFonts w:eastAsiaTheme="minorHAnsi"/>
          <w:sz w:val="22"/>
          <w:szCs w:val="22"/>
          <w:lang w:val="pt-BR" w:eastAsia="en-GB"/>
        </w:rPr>
        <w:t xml:space="preserve"> </w:t>
      </w:r>
      <w:r>
        <w:rPr>
          <w:rFonts w:eastAsiaTheme="minorHAnsi"/>
          <w:b/>
          <w:sz w:val="22"/>
          <w:szCs w:val="22"/>
          <w:lang w:val="pt-BR" w:eastAsia="en-GB"/>
        </w:rPr>
        <w:t>Grădiștea, 31 august 2021</w:t>
      </w:r>
    </w:p>
    <w:p>
      <w:pPr>
        <w:rPr>
          <w:b/>
          <w:sz w:val="28"/>
          <w:szCs w:val="28"/>
          <w:lang w:val="fr-FR" w:eastAsia="en-US"/>
        </w:rPr>
      </w:pPr>
    </w:p>
    <w:tbl>
      <w:tblPr>
        <w:tblStyle w:val="12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0"/>
        <w:gridCol w:w="5512"/>
        <w:gridCol w:w="1279"/>
        <w:gridCol w:w="20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PROCEDURI OBLIGATORII ULTERIOARE ADOPTARII HOTARARII CONSILIULUI LOCAL NR. 33/31.08.2021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crt.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Operatiuni efectuate</w:t>
            </w:r>
          </w:p>
        </w:tc>
        <w:tc>
          <w:tcPr>
            <w:tcW w:w="7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ZZ/LL/AN</w:t>
            </w:r>
          </w:p>
        </w:tc>
        <w:tc>
          <w:tcPr>
            <w:tcW w:w="11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Semnatura persoanei responsabile sa efectueze procedura</w:t>
            </w:r>
          </w:p>
        </w:tc>
      </w:tr>
      <w:tr>
        <w:trPr>
          <w:tblCellSpacing w:w="15" w:type="dxa"/>
        </w:trPr>
        <w:tc>
          <w:tcPr>
            <w:tcW w:w="15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Adoptarea hotararii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) s-a facut cu majoritate □ simpla  □ absoluta  □ calificata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.../.../...........</w:t>
            </w:r>
          </w:p>
        </w:tc>
        <w:tc>
          <w:tcPr>
            <w:tcW w:w="11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Comunicarea catre primar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.../.../............</w:t>
            </w:r>
          </w:p>
        </w:tc>
        <w:tc>
          <w:tcPr>
            <w:tcW w:w="11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Comunicarea catre prefectul judetului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.../.../............</w:t>
            </w:r>
          </w:p>
        </w:tc>
        <w:tc>
          <w:tcPr>
            <w:tcW w:w="11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Aducerea la cunostinta publica</w:t>
            </w:r>
            <w:r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)+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.../.../............</w:t>
            </w:r>
          </w:p>
        </w:tc>
        <w:tc>
          <w:tcPr>
            <w:tcW w:w="11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Comunicarea, numai in cazul celei cu caracter individual</w:t>
            </w:r>
            <w:r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)+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.../.../............</w:t>
            </w:r>
          </w:p>
        </w:tc>
        <w:tc>
          <w:tcPr>
            <w:tcW w:w="11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Hotararea devine obligatorie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) sau produce efecte juridice</w:t>
            </w:r>
            <w:r>
              <w:rPr>
                <w:sz w:val="18"/>
                <w:szCs w:val="18"/>
                <w:vertAlign w:val="superscript"/>
              </w:rPr>
              <w:t>7</w:t>
            </w:r>
            <w:r>
              <w:rPr>
                <w:sz w:val="18"/>
                <w:szCs w:val="18"/>
              </w:rPr>
              <w:t>), dupa caz</w:t>
            </w:r>
          </w:p>
        </w:tc>
        <w:tc>
          <w:tcPr>
            <w:tcW w:w="7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.../.../............</w:t>
            </w:r>
          </w:p>
        </w:tc>
        <w:tc>
          <w:tcPr>
            <w:tcW w:w="11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Extrase din Ordonanta de urgenta a Guvernului </w:t>
            </w:r>
            <w:r>
              <w:fldChar w:fldCharType="begin"/>
            </w:r>
            <w:r>
              <w:instrText xml:space="preserve"> HYPERLINK "https://program-legislatie.ro/" \l "/view/00571803.19-20210203-SJ6Gw4I9dgd" </w:instrText>
            </w:r>
            <w:r>
              <w:fldChar w:fldCharType="separate"/>
            </w:r>
            <w:r>
              <w:rPr>
                <w:color w:val="0000FF"/>
                <w:sz w:val="18"/>
                <w:szCs w:val="18"/>
                <w:u w:val="single"/>
              </w:rPr>
              <w:t>nr. 57/2019</w:t>
            </w:r>
            <w:r>
              <w:rPr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privind Codul administrativ, cu modificarile si completarile ulterioare: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) Art. 139 alin. (1): „In exercitarea atributiilor ce ii revin, consiliul local adopta hotarari, cu majoritate absoluta sau simpla, dupa caz.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(2) Prin exceptie de la prevederile alin. (1), hotararile privind dobandirea sau instrainarea dreptului de proprietate in cazul bunurilor imobile se adopta de consiliul local cu majoritatea calificata definita la art. 5 lit. dd), de doua treimi din numarul consilierilor locali in functie.“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 Art. 197 alin. (2): „Hotararile consiliului local se comunica primarului.“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 Art. 197 alin. (1), adaptat: Secretarul general al comunei comunica hotararile consiliului local al comunei prefectului in cel mult 10 zile lucratoare de la data adoptarii ...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) Art. 197 alin. (4): „Hotararile … se aduc la cunostinta publica si se comunica, in conditiile legii, prin grija secretarului general al comunei.“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) Art. 199 alin. (1): „Comunicarea hotararilor … cu caracter individual catre persoanele carora li se adreseaza se face in cel mult 5 zile de la data comunicarii oficiale catre prefect.“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) Art. 198 alin. (1): „Hotararile … cu caracter normativ devin obligatorii de la data aducerii lor la cunostinta publica.“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vertAlign w:val="superscript"/>
              </w:rPr>
              <w:t>7</w:t>
            </w:r>
            <w:r>
              <w:rPr>
                <w:sz w:val="18"/>
                <w:szCs w:val="18"/>
              </w:rPr>
              <w:t>) Art. 199 alin. (2): „Hotararile … cu caracter individual produc efecte juridice de la data comunicarii catre persoanele carora li se adreseaza.“</w:t>
            </w:r>
          </w:p>
        </w:tc>
      </w:tr>
    </w:tbl>
    <w:p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 _____________</w:t>
      </w:r>
    </w:p>
    <w:p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   1</w:t>
      </w:r>
      <w:r>
        <w:rPr>
          <w:sz w:val="18"/>
          <w:szCs w:val="18"/>
        </w:rPr>
        <w:t xml:space="preserve"> Se completeaza cu numarul si anul hotararii consiliului local.</w:t>
      </w:r>
      <w:r>
        <w:rPr>
          <w:sz w:val="18"/>
          <w:szCs w:val="18"/>
        </w:rPr>
        <w:br w:type="textWrapping"/>
      </w:r>
      <w:r>
        <w:rPr>
          <w:sz w:val="18"/>
          <w:szCs w:val="18"/>
          <w:vertAlign w:val="superscript"/>
        </w:rPr>
        <w:t>   2</w:t>
      </w:r>
      <w:r>
        <w:rPr>
          <w:sz w:val="18"/>
          <w:szCs w:val="18"/>
        </w:rPr>
        <w:t xml:space="preserve"> Se bifeaza tipul de majoritate cu care s-a adoptat hotararea consiliului local.</w:t>
      </w:r>
    </w:p>
    <w:p>
      <w:pPr>
        <w:suppressAutoHyphens/>
        <w:rPr>
          <w:lang w:val="en-US" w:eastAsia="zh-CN"/>
        </w:rPr>
      </w:pPr>
    </w:p>
    <w:p>
      <w:pPr>
        <w:tabs>
          <w:tab w:val="left" w:pos="1470"/>
        </w:tabs>
        <w:spacing w:after="200" w:line="276" w:lineRule="auto"/>
        <w:rPr>
          <w:lang w:eastAsia="zh-CN"/>
        </w:rPr>
      </w:pPr>
    </w:p>
    <w:p>
      <w:pPr>
        <w:tabs>
          <w:tab w:val="left" w:pos="1470"/>
        </w:tabs>
        <w:spacing w:after="200" w:line="276" w:lineRule="auto"/>
        <w:rPr>
          <w:lang w:eastAsia="zh-CN"/>
        </w:rPr>
      </w:pPr>
    </w:p>
    <w:p>
      <w:pPr>
        <w:tabs>
          <w:tab w:val="left" w:pos="1470"/>
        </w:tabs>
        <w:spacing w:after="200" w:line="276" w:lineRule="auto"/>
        <w:rPr>
          <w:lang w:eastAsia="zh-CN"/>
        </w:rPr>
      </w:pPr>
    </w:p>
    <w:p>
      <w:pPr>
        <w:tabs>
          <w:tab w:val="left" w:pos="1470"/>
        </w:tabs>
        <w:spacing w:after="200" w:line="276" w:lineRule="auto"/>
        <w:rPr>
          <w:lang w:eastAsia="zh-CN"/>
        </w:rPr>
      </w:pPr>
    </w:p>
    <w:p>
      <w:pPr>
        <w:tabs>
          <w:tab w:val="left" w:pos="1470"/>
        </w:tabs>
        <w:spacing w:after="200" w:line="276" w:lineRule="auto"/>
        <w:rPr>
          <w:lang w:eastAsia="zh-CN"/>
        </w:rPr>
      </w:pPr>
    </w:p>
    <w:p/>
    <w:p/>
    <w:p/>
    <w:sectPr>
      <w:pgSz w:w="11906" w:h="16838"/>
      <w:pgMar w:top="1134" w:right="1440" w:bottom="1134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72E057A4"/>
    <w:multiLevelType w:val="multilevel"/>
    <w:tmpl w:val="72E057A4"/>
    <w:lvl w:ilvl="0" w:tentative="0">
      <w:start w:val="1"/>
      <w:numFmt w:val="lowerLetter"/>
      <w:lvlText w:val="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C0C58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B0C0C58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http://dli.ro/wp-content/uploads/2011/08/ue.jpg" TargetMode="Externa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2021-09-06T09:48:00Z</dcterms:created>
  <dc:creator>Liv</dc:creator>
  <cp:lastModifiedBy>Liv</cp:lastModifiedBy>
  <dcterms:modified xsi:type="dcterms:W3CDTF">2021-09-06T09:49:00Z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86B821516D6C4C5D89F843F0E53D1A3D</vt:lpwstr>
  </property>
</Properties>
</file>