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rPr>
          <w:sz w:val="28"/>
          <w:szCs w:val="28"/>
          <w:lang w:val="en-US" w:eastAsia="zh-CN"/>
        </w:rPr>
      </w:pPr>
    </w:p>
    <w:p>
      <w:pPr>
        <w:pStyle w:val="249"/>
        <w:jc w:val="center"/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194945</wp:posOffset>
            </wp:positionV>
            <wp:extent cx="742950" cy="1038225"/>
            <wp:effectExtent l="0" t="0" r="0" b="9525"/>
            <wp:wrapNone/>
            <wp:docPr id="16" name="Picture 16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ue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HAnsi" w:cstheme="minorBidi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742950" cy="1160780"/>
            <wp:effectExtent l="0" t="0" r="0" b="1270"/>
            <wp:wrapNone/>
            <wp:docPr id="17" name="Picture 17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tema_2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8"/>
          <w:szCs w:val="28"/>
          <w:lang w:val="pt-BR" w:eastAsia="en-US"/>
        </w:rPr>
        <w:t xml:space="preserve">P R I M </w:t>
      </w:r>
      <w:r>
        <w:rPr>
          <w:rFonts w:eastAsiaTheme="minorHAnsi"/>
          <w:b/>
          <w:sz w:val="28"/>
          <w:szCs w:val="28"/>
          <w:lang w:val="en-US" w:eastAsia="en-US"/>
        </w:rPr>
        <w:t>A R I A</w:t>
      </w:r>
    </w:p>
    <w:p>
      <w:pPr>
        <w:pStyle w:val="24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pt-BR" w:eastAsia="en-US"/>
        </w:rPr>
        <w:t>Comuna Grădiştea, Judeţul Valcea</w:t>
      </w:r>
    </w:p>
    <w:p>
      <w:pPr>
        <w:pStyle w:val="24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lang w:val="fr-FR" w:eastAsia="en-US"/>
        </w:rPr>
        <w:t>Codul de inregistrare fiscala: 2541320</w:t>
      </w:r>
    </w:p>
    <w:p>
      <w:pPr>
        <w:pStyle w:val="24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pStyle w:val="24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 xml:space="preserve">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Style w:val="51"/>
          <w:rFonts w:eastAsiaTheme="minorHAnsi"/>
          <w:b/>
          <w:i/>
          <w:sz w:val="28"/>
          <w:szCs w:val="28"/>
          <w:lang w:val="fr-FR" w:eastAsia="en-US"/>
        </w:rPr>
        <w:t>gradistea@vl.e-adm.ro</w:t>
      </w:r>
      <w:r>
        <w:rPr>
          <w:rStyle w:val="51"/>
          <w:rFonts w:eastAsiaTheme="minorHAnsi"/>
          <w:b/>
          <w:i/>
          <w:sz w:val="28"/>
          <w:szCs w:val="28"/>
          <w:lang w:val="fr-FR" w:eastAsia="en-US"/>
        </w:rPr>
        <w:fldChar w:fldCharType="end"/>
      </w:r>
    </w:p>
    <w:p>
      <w:pPr>
        <w:pStyle w:val="24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>www.primariagradistea.ro</w:t>
      </w:r>
    </w:p>
    <w:p>
      <w:pPr>
        <w:suppressAutoHyphens/>
        <w:rPr>
          <w:lang w:val="en-US" w:eastAsia="zh-CN"/>
        </w:rPr>
      </w:pPr>
      <w:r>
        <w:rPr>
          <w:rFonts w:eastAsiaTheme="minorHAnsi"/>
          <w:b/>
          <w:color w:val="000000"/>
          <w:lang w:val="en-US" w:eastAsia="en-US"/>
        </w:rPr>
        <w:drawing>
          <wp:inline distT="0" distB="0" distL="0" distR="0">
            <wp:extent cx="6120765" cy="350520"/>
            <wp:effectExtent l="0" t="0" r="13335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NR: </w:t>
      </w:r>
      <w:r>
        <w:rPr>
          <w:sz w:val="28"/>
          <w:szCs w:val="28"/>
        </w:rPr>
        <w:t>6134/24.09.2021</w:t>
      </w:r>
    </w:p>
    <w:p>
      <w:pPr>
        <w:rPr>
          <w:sz w:val="28"/>
          <w:szCs w:val="28"/>
          <w:lang w:val="en-US" w:eastAsia="en-US"/>
        </w:rPr>
      </w:pPr>
    </w:p>
    <w:p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RAPORT DE SPECIAL</w:t>
      </w:r>
      <w:bookmarkStart w:id="0" w:name="_GoBack"/>
      <w:bookmarkEnd w:id="0"/>
      <w:r>
        <w:rPr>
          <w:b/>
          <w:sz w:val="28"/>
          <w:szCs w:val="28"/>
          <w:lang w:val="en-US" w:eastAsia="en-US"/>
        </w:rPr>
        <w:t>ITATE,</w:t>
      </w:r>
    </w:p>
    <w:p>
      <w:pPr>
        <w:spacing w:after="160" w:line="259" w:lineRule="auto"/>
        <w:jc w:val="center"/>
        <w:rPr>
          <w:b/>
          <w:sz w:val="28"/>
          <w:szCs w:val="28"/>
          <w:lang w:val="pt-BR"/>
        </w:rPr>
      </w:pPr>
      <w:r>
        <w:rPr>
          <w:rStyle w:val="92"/>
          <w:sz w:val="28"/>
          <w:szCs w:val="28"/>
        </w:rPr>
        <w:t>la proiectul de hotărâre privind</w:t>
      </w:r>
      <w:r>
        <w:rPr>
          <w:b/>
          <w:sz w:val="28"/>
          <w:szCs w:val="28"/>
          <w:lang w:val="pt-BR"/>
        </w:rPr>
        <w:t xml:space="preserve"> alegerea președintelui de ședință pentru perioada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pt-BR"/>
        </w:rPr>
        <w:t>noiembrie, decembrie 2021-ianuarie 2022</w:t>
      </w:r>
    </w:p>
    <w:p>
      <w:pPr>
        <w:widowControl w:val="0"/>
        <w:tabs>
          <w:tab w:val="left" w:pos="284"/>
        </w:tabs>
        <w:suppressAutoHyphens/>
        <w:autoSpaceDE w:val="0"/>
        <w:ind w:right="-48"/>
        <w:jc w:val="both"/>
        <w:rPr>
          <w:rFonts w:eastAsiaTheme="minorHAnsi"/>
          <w:sz w:val="28"/>
          <w:szCs w:val="28"/>
        </w:rPr>
      </w:pPr>
      <w:r>
        <w:rPr>
          <w:rStyle w:val="92"/>
          <w:sz w:val="28"/>
          <w:szCs w:val="28"/>
        </w:rPr>
        <w:t xml:space="preserve"> </w:t>
      </w:r>
    </w:p>
    <w:p>
      <w:pPr>
        <w:pStyle w:val="24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Proiectul de hotărâre are ca obiect </w:t>
      </w:r>
      <w:r>
        <w:rPr>
          <w:sz w:val="28"/>
          <w:szCs w:val="28"/>
          <w:lang w:val="pt-BR"/>
        </w:rPr>
        <w:t>alegerea președintelui de ședință pentru perioada noiembrie, decembrie 2021-ianuarie 2022</w:t>
      </w:r>
      <w:r>
        <w:rPr>
          <w:sz w:val="28"/>
          <w:szCs w:val="28"/>
          <w:lang w:val="en-US"/>
        </w:rPr>
        <w:t>;</w:t>
      </w:r>
    </w:p>
    <w:p>
      <w:pPr>
        <w:pStyle w:val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Proiectul de hotărâre are ca temei de drept prevederile art. 123 alin. (1) din O.U.G. nr. 57/2019 privind Codul administrativ;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• Art. 123 alin. (1): "După declararea ca legal constituit, consiliul local alege dintre membrii săi, în termenul stabilit prin regulamentul de organizare şi funcţionare a consiliului local, un preşedinte de şedinţă, pe o perioadă de cel mult 3 luni, care conduce şedinţele consiliului şi semnează hotărârile adoptate de acesta. Preşedintele de şedinţă se alege prin vot deschis cu majoritate simplă, prevăzută la art. 5, lit. ee)."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Principalele atribuţii ale preşedintelui de şedinţă sunt expres prevăzute la art. 123 alin. (4) din O.U.G. nr. 57/2019 privind Codul administrativ, astfel, citez: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„(1)Preşedintele de şedinţă exercită următoarele atribuţii principale: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a) conduce şedinţele consiliului local;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b) supune votului consilierilor locali conţinutul ordinii de zi, eventualele modificări propuse de iniţiator, şi anume retrageri sau înscrieri şi procesele-verbale ale şedinţelor din luna anterioară;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c) supune votului consilierilor proiectele de hotărâri, împreună cu propunerile rezultate în urma dezbaterilor consilierilor, dacă este cazul;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d) asigură numărarea voturilor şi anunţă rezultatul votării, cu precizarea voturilor pentru, contra şi a abţinerilor;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e) semnează hotărârile adoptate de consiliul local, chiar dacă a votat împotriva adoptării acestora, precum şi procesul-verbal; În caz de refuz al preşedintelui de a semna, hotărârea va fi semnată de 3 consilieri locali;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f) asigură menţinerea ordinii şi respectarea regulamentului de desfăşurare a şedinţei;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g) supune votului consilierilor locali orice problemă care intră în competenţa de soluţionare a consiliului. Acordă cuvântul, asigură dezbaterea tuturor punctelor înscrise pe ordinea de zi, întrerupe şi ridică şedinţa;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h) aplică, dacă este cazul, sancţiunile prevăzute de statutul aleşilor locali sau propune consiliului aplicarea unor asemenea sancţiuni;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i) semnează toate înscrisurile întocmite în numele autorităţii deliberative în perioada în care îndeplinişte funcţia de preşedinte de şedinţă (o lună calendaristică); În caz de refuz al preşedintelui de a semna, înscrisul va fi semnat de 3 consilieri locali;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j) reprezintă consiliul local până la intrarea în atribuţiuni a preşedintelui care îl urmează.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(2) Preşedintele de şedinţă îndeplineşte orice alte atribuţii prevăzute de lege, de prezentul Regulament sau însărcinări date de consiliul local." 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În conformitate cu dispoziţiile art. 123 alin. (3) din O.U.G. nr. 57/2019 privind Codul administrativ, în situaţia absenţei preşedintelui de şedinţă în intervalul pentru care a fost ales, se va proceda la alegerea unui alt preşedinte de şedinţă, la propunerea consilierilor locali. Acesta exercită atribuţiile conferite de lege şi de Regulament pentru preşedintele de şedinţă.</w:t>
      </w:r>
    </w:p>
    <w:p>
      <w:pPr>
        <w:pStyle w:val="85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Proiectul de hotărâre îndeplineşte condiţiile legale şi de oportunitate, drept pentru care, având în vedere faptul că mandatul domnului consilier local </w:t>
      </w:r>
      <w:r>
        <w:rPr>
          <w:sz w:val="28"/>
          <w:szCs w:val="28"/>
          <w:lang w:val="fr-FR" w:eastAsia="en-GB"/>
        </w:rPr>
        <w:t>Dițoiu Ion</w:t>
      </w:r>
      <w:r>
        <w:rPr>
          <w:sz w:val="28"/>
          <w:szCs w:val="28"/>
          <w:lang w:val="ro-RO"/>
        </w:rPr>
        <w:t xml:space="preserve">, ales presedinte de sedinta conform </w:t>
      </w:r>
      <w:r>
        <w:rPr>
          <w:sz w:val="28"/>
          <w:szCs w:val="28"/>
          <w:lang w:val="fr-FR" w:eastAsia="en-GB"/>
        </w:rPr>
        <w:t>Hotărârii Consiliului Local Grădiștea cu nr. 27/30.07.2021</w:t>
      </w:r>
      <w:r>
        <w:rPr>
          <w:sz w:val="28"/>
          <w:szCs w:val="28"/>
        </w:rPr>
        <w:t xml:space="preserve">, expiră, supun aprobării consiliului local alegerea unui preşedinte de şedinţă pentru </w:t>
      </w:r>
      <w:r>
        <w:rPr>
          <w:bCs/>
          <w:color w:val="000000"/>
          <w:sz w:val="28"/>
          <w:szCs w:val="28"/>
          <w:lang w:val="pt-BR"/>
        </w:rPr>
        <w:t>perioada</w:t>
      </w:r>
      <w:r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noiembrie, decembrie 2021-ianuarie 2022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pt-BR"/>
        </w:rPr>
        <w:t>.</w:t>
      </w:r>
    </w:p>
    <w:p>
      <w:pPr>
        <w:jc w:val="center"/>
        <w:rPr>
          <w:sz w:val="28"/>
          <w:szCs w:val="28"/>
          <w:lang w:val="en-US" w:eastAsia="en-US"/>
        </w:rPr>
      </w:pPr>
    </w:p>
    <w:p>
      <w:pPr>
        <w:jc w:val="both"/>
        <w:rPr>
          <w:sz w:val="28"/>
          <w:szCs w:val="28"/>
          <w:lang w:val="en-US" w:eastAsia="en-US"/>
        </w:rPr>
      </w:pPr>
    </w:p>
    <w:p>
      <w:pPr>
        <w:jc w:val="both"/>
        <w:rPr>
          <w:sz w:val="28"/>
          <w:szCs w:val="28"/>
          <w:lang w:val="en-US" w:eastAsia="en-US"/>
        </w:rPr>
      </w:pPr>
    </w:p>
    <w:p>
      <w:pPr>
        <w:rPr>
          <w:sz w:val="28"/>
          <w:szCs w:val="28"/>
          <w:lang w:val="en-US" w:eastAsia="en-US"/>
        </w:rPr>
      </w:pPr>
    </w:p>
    <w:p>
      <w:pPr>
        <w:spacing w:line="276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SECRETAR GENERAL UAT,</w:t>
      </w:r>
    </w:p>
    <w:p>
      <w:pPr>
        <w:spacing w:line="276" w:lineRule="auto"/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COCOȘ-BARBU Milemtina</w:t>
      </w:r>
    </w:p>
    <w:p>
      <w:pPr>
        <w:spacing w:after="160" w:line="259" w:lineRule="auto"/>
        <w:jc w:val="center"/>
        <w:rPr>
          <w:rFonts w:eastAsiaTheme="minorHAnsi"/>
          <w:sz w:val="28"/>
          <w:szCs w:val="28"/>
          <w:lang w:val="en-US" w:eastAsia="en-US"/>
        </w:rPr>
      </w:pPr>
    </w:p>
    <w:p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2E8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74B2E88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2021-10-22T09:09:00Z</dcterms:created>
  <dc:creator>Liv</dc:creator>
  <cp:lastModifiedBy>Liv</cp:lastModifiedBy>
  <dcterms:modified xsi:type="dcterms:W3CDTF">2021-10-22T09:10:13Z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ECC7DA8B68544B1BAA552ECE5B690756</vt:lpwstr>
  </property>
</Properties>
</file>