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900"/>
        <w:rPr>
          <w:rFonts w:ascii="Times New Roman" w:hAnsi="Times New Roman" w:cs="Times New Roman"/>
          <w:b/>
          <w:i/>
          <w:sz w:val="28"/>
          <w:szCs w:val="28"/>
          <w:lang w:val="pt-BR"/>
        </w:rPr>
      </w:pPr>
      <w:r>
        <w:rPr>
          <w:rFonts w:ascii="Times New Roman" w:hAnsi="Times New Roman" w:cs="Times New Roman"/>
          <w:b/>
          <w:i/>
          <w:sz w:val="28"/>
          <w:szCs w:val="28"/>
        </w:rPr>
        <w:drawing>
          <wp:anchor distT="0" distB="0" distL="114300" distR="114300" simplePos="0" relativeHeight="251662336" behindDoc="0" locked="0" layoutInCell="1" allowOverlap="1">
            <wp:simplePos x="0" y="0"/>
            <wp:positionH relativeFrom="column">
              <wp:posOffset>65405</wp:posOffset>
            </wp:positionH>
            <wp:positionV relativeFrom="paragraph">
              <wp:posOffset>-81915</wp:posOffset>
            </wp:positionV>
            <wp:extent cx="823595" cy="1287145"/>
            <wp:effectExtent l="0" t="0" r="14605" b="8255"/>
            <wp:wrapNone/>
            <wp:docPr id="11" name="Picture 11"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r>
        <w:rPr>
          <w:rFonts w:ascii="Times New Roman" w:hAnsi="Times New Roman" w:cs="Times New Roman"/>
          <w:sz w:val="28"/>
          <w:szCs w:val="28"/>
        </w:rPr>
        <w:drawing>
          <wp:anchor distT="0" distB="0" distL="114300" distR="114300" simplePos="0" relativeHeight="251661312" behindDoc="1" locked="0" layoutInCell="1" allowOverlap="1">
            <wp:simplePos x="0" y="0"/>
            <wp:positionH relativeFrom="column">
              <wp:posOffset>5362575</wp:posOffset>
            </wp:positionH>
            <wp:positionV relativeFrom="paragraph">
              <wp:posOffset>173990</wp:posOffset>
            </wp:positionV>
            <wp:extent cx="1140460" cy="800100"/>
            <wp:effectExtent l="0" t="0" r="0" b="2540"/>
            <wp:wrapNone/>
            <wp:docPr id="12" name="Picture 12"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40460" cy="800100"/>
                    </a:xfrm>
                    <a:prstGeom prst="rect">
                      <a:avLst/>
                    </a:prstGeom>
                    <a:noFill/>
                  </pic:spPr>
                </pic:pic>
              </a:graphicData>
            </a:graphic>
          </wp:anchor>
        </w:drawing>
      </w:r>
      <w:r>
        <w:rPr>
          <w:rFonts w:ascii="Times New Roman" w:hAnsi="Times New Roman" w:cs="Times New Roman"/>
          <w:b/>
          <w:i/>
          <w:sz w:val="28"/>
          <w:szCs w:val="28"/>
          <w:lang w:val="pt-BR"/>
        </w:rPr>
        <w:t xml:space="preserve">                                                - </w:t>
      </w:r>
      <w:r>
        <w:rPr>
          <w:rFonts w:ascii="Times New Roman" w:hAnsi="Times New Roman" w:cs="Times New Roman"/>
          <w:b/>
          <w:sz w:val="28"/>
          <w:szCs w:val="28"/>
          <w:lang w:val="pt-BR"/>
        </w:rPr>
        <w:t>CONSILIUL  LOCAL</w:t>
      </w:r>
      <w:r>
        <w:rPr>
          <w:rFonts w:ascii="Times New Roman" w:hAnsi="Times New Roman" w:cs="Times New Roman"/>
          <w:b/>
          <w:i/>
          <w:sz w:val="28"/>
          <w:szCs w:val="28"/>
          <w:lang w:val="pt-BR"/>
        </w:rPr>
        <w:t xml:space="preserve"> -</w:t>
      </w:r>
    </w:p>
    <w:p>
      <w:pPr>
        <w:spacing w:after="0" w:line="240" w:lineRule="auto"/>
        <w:ind w:right="-900"/>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Comuna Grădiştea, Judeţul Vîlcea</w:t>
      </w:r>
    </w:p>
    <w:p>
      <w:pPr>
        <w:spacing w:after="0" w:line="240" w:lineRule="auto"/>
        <w:ind w:right="-900"/>
        <w:rPr>
          <w:rFonts w:ascii="Times New Roman" w:hAnsi="Times New Roman" w:cs="Times New Roman"/>
          <w:b/>
          <w:i/>
          <w:sz w:val="28"/>
          <w:szCs w:val="28"/>
          <w:lang w:val="fr-FR"/>
        </w:rPr>
      </w:pPr>
      <w:r>
        <w:rPr>
          <w:rFonts w:ascii="Times New Roman" w:hAnsi="Times New Roman" w:cs="Times New Roman"/>
          <w:b/>
          <w:i/>
          <w:sz w:val="28"/>
          <w:szCs w:val="28"/>
          <w:lang w:val="fr-FR"/>
        </w:rPr>
        <w:t xml:space="preserve">                                     Tel:0250/867072 ; Tel/ Fax : 0250/867009</w:t>
      </w:r>
    </w:p>
    <w:p>
      <w:pPr>
        <w:spacing w:after="0" w:line="240" w:lineRule="auto"/>
        <w:ind w:right="89"/>
        <w:jc w:val="center"/>
        <w:rPr>
          <w:rFonts w:ascii="Times New Roman" w:hAnsi="Times New Roman" w:cs="Times New Roman"/>
          <w:b/>
          <w:i/>
          <w:color w:val="000000"/>
          <w:sz w:val="28"/>
          <w:szCs w:val="28"/>
          <w:lang w:val="fr-FR" w:eastAsia="ro-RO"/>
        </w:rPr>
      </w:pPr>
      <w:r>
        <w:rPr>
          <w:rFonts w:ascii="Times New Roman" w:hAnsi="Times New Roman" w:cs="Times New Roman"/>
          <w:b/>
          <w:i/>
          <w:sz w:val="28"/>
          <w:szCs w:val="28"/>
          <w:lang w:val="fr-FR" w:eastAsia="ro-RO"/>
        </w:rPr>
        <w:t xml:space="preserve">  e-mail: </w:t>
      </w:r>
      <w:r>
        <w:rPr>
          <w:rFonts w:ascii="Times New Roman" w:hAnsi="Times New Roman" w:cs="Times New Roman"/>
          <w:b/>
          <w:i/>
          <w:color w:val="000000"/>
          <w:sz w:val="28"/>
          <w:szCs w:val="28"/>
          <w:lang w:val="fr-FR" w:eastAsia="ro-RO"/>
        </w:rPr>
        <w:t>gradistea@vl.e-adm.ro</w:t>
      </w:r>
    </w:p>
    <w:p>
      <w:pPr>
        <w:spacing w:after="0" w:line="240" w:lineRule="auto"/>
        <w:ind w:right="-900"/>
        <w:rPr>
          <w:rFonts w:ascii="Times New Roman" w:hAnsi="Times New Roman" w:cs="Times New Roman"/>
          <w:b/>
          <w:sz w:val="28"/>
          <w:szCs w:val="28"/>
          <w:lang w:val="fr-FR"/>
        </w:rPr>
      </w:pPr>
      <w:r>
        <w:rPr>
          <w:rFonts w:ascii="Times New Roman" w:hAnsi="Times New Roman" w:cs="Times New Roman"/>
          <w:sz w:val="28"/>
          <w:szCs w:val="28"/>
        </w:rPr>
        <w:t xml:space="preserve">                                            </w:t>
      </w:r>
      <w:r>
        <w:fldChar w:fldCharType="begin"/>
      </w:r>
      <w:r>
        <w:instrText xml:space="preserve"> HYPERLINK "http://www.primariagradisteavalcea.ro" </w:instrText>
      </w:r>
      <w:r>
        <w:fldChar w:fldCharType="separate"/>
      </w:r>
      <w:r>
        <w:rPr>
          <w:rFonts w:ascii="Times New Roman" w:hAnsi="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spacing w:after="0" w:line="240" w:lineRule="auto"/>
        <w:ind w:right="-900"/>
        <w:jc w:val="center"/>
        <w:rPr>
          <w:rFonts w:ascii="Times New Roman" w:hAnsi="Times New Roman" w:cs="Times New Roman"/>
          <w:b/>
          <w:sz w:val="28"/>
          <w:szCs w:val="28"/>
          <w:lang w:val="fr-FR"/>
        </w:rPr>
      </w:pPr>
      <w:r>
        <w:rPr>
          <w:rFonts w:ascii="Times New Roman" w:hAnsi="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pStyle w:val="85"/>
        <w:spacing w:before="0" w:beforeAutospacing="0" w:after="0" w:afterAutospacing="0"/>
        <w:jc w:val="center"/>
        <w:rPr>
          <w:b/>
          <w:color w:val="000000"/>
          <w:sz w:val="28"/>
          <w:szCs w:val="28"/>
        </w:rPr>
      </w:pPr>
      <w:r>
        <w:rPr>
          <w:b/>
          <w:color w:val="000000"/>
          <w:sz w:val="28"/>
          <w:szCs w:val="28"/>
        </w:rPr>
        <w:t>PROIECT DE HOTĂRÂRE Nr.  34</w:t>
      </w:r>
    </w:p>
    <w:p>
      <w:pPr>
        <w:pStyle w:val="85"/>
        <w:spacing w:before="0" w:beforeAutospacing="0" w:after="0" w:afterAutospacing="0"/>
        <w:jc w:val="center"/>
        <w:rPr>
          <w:b/>
          <w:color w:val="000000"/>
          <w:sz w:val="28"/>
          <w:szCs w:val="28"/>
        </w:rPr>
      </w:pPr>
      <w:r>
        <w:rPr>
          <w:b/>
          <w:color w:val="000000"/>
          <w:sz w:val="28"/>
          <w:szCs w:val="28"/>
        </w:rPr>
        <w:t xml:space="preserve">PRIVIND: </w:t>
      </w:r>
      <w:r>
        <w:rPr>
          <w:sz w:val="28"/>
          <w:szCs w:val="28"/>
          <w:lang w:val="fr-FR" w:eastAsia="ro-RO"/>
        </w:rPr>
        <w:t xml:space="preserve">aprobarea Proiectului tehnic, </w:t>
      </w:r>
      <w:r>
        <w:rPr>
          <w:sz w:val="28"/>
          <w:szCs w:val="28"/>
        </w:rPr>
        <w:t>indicatorilor tehnico-economici și a devizului general, pentru obiectivul de investiții: “Asfaltare drumuri de interes local în comuna Grădiștea, județul Vâlcea”</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r>
        <w:rPr>
          <w:color w:val="000000"/>
          <w:sz w:val="28"/>
          <w:szCs w:val="28"/>
        </w:rPr>
        <w:t xml:space="preserve">         Consiliul Local al Comunei Grădiștea, judeţul Vâlcea, întrunit în şedinţa ordinară din data de 28.09.2021, la care participă un număr de ___consilieri din totalul de 11 consilieri în funcţie;</w:t>
      </w:r>
    </w:p>
    <w:p>
      <w:pPr>
        <w:spacing w:after="0" w:line="240" w:lineRule="auto"/>
        <w:jc w:val="both"/>
        <w:rPr>
          <w:rFonts w:ascii="Times New Roman" w:hAnsi="Times New Roman" w:cs="Times New Roman"/>
          <w:sz w:val="24"/>
          <w:szCs w:val="24"/>
          <w:lang w:val="fr-FR" w:eastAsia="ro-RO"/>
        </w:rPr>
      </w:pPr>
      <w:r>
        <w:rPr>
          <w:rFonts w:ascii="Times New Roman" w:hAnsi="Times New Roman" w:cs="Times New Roman"/>
          <w:sz w:val="24"/>
          <w:szCs w:val="24"/>
          <w:lang w:val="fr-FR" w:eastAsia="ro-RO"/>
        </w:rPr>
        <w:t xml:space="preserve">         </w:t>
      </w:r>
      <w:r>
        <w:rPr>
          <w:rFonts w:ascii="Times New Roman" w:hAnsi="Times New Roman" w:cs="Times New Roman"/>
          <w:sz w:val="28"/>
          <w:szCs w:val="28"/>
          <w:lang w:val="fr-FR" w:eastAsia="en-GB"/>
        </w:rPr>
        <w:t>Văzând ca potrivit Hotărârii Consiliului Local Grădiștea cu nr. 27/30.07.2021, este ales președinte de ședintă d-nul Dițoiu Ion;</w:t>
      </w:r>
    </w:p>
    <w:p>
      <w:pPr>
        <w:pStyle w:val="85"/>
        <w:spacing w:before="0" w:beforeAutospacing="0" w:after="0" w:afterAutospacing="0"/>
        <w:jc w:val="both"/>
        <w:rPr>
          <w:b/>
          <w:color w:val="000000"/>
          <w:sz w:val="28"/>
          <w:szCs w:val="28"/>
        </w:rPr>
      </w:pPr>
      <w:r>
        <w:rPr>
          <w:color w:val="000000"/>
          <w:sz w:val="28"/>
          <w:szCs w:val="28"/>
        </w:rPr>
        <w:t xml:space="preserve">        Luând în discutie Proiectul de Hotărâre, referatul de aprobare al cărui semnatar este Primarul Comunei Grădiștea, înregistrat sub nr.5.549/02.09.2021 şi raportul de specialitate întocmit de doamna Stanciu Ilina – consilier superior achiziții publice în cadrul aparatului de specialitate al Primarului Comunei Grădiștea, prin care propune</w:t>
      </w:r>
      <w:r>
        <w:rPr>
          <w:sz w:val="28"/>
          <w:szCs w:val="28"/>
          <w:lang w:val="fr-FR" w:eastAsia="ro-RO"/>
        </w:rPr>
        <w:t xml:space="preserve"> aprobarea Proiectului tehnic, </w:t>
      </w:r>
      <w:r>
        <w:rPr>
          <w:sz w:val="28"/>
          <w:szCs w:val="28"/>
        </w:rPr>
        <w:t>indicatorilor tehnico-economici și a devizului general, pentru obiectivul de investiții: “Asfaltare drumuri de interes local în comuna Grădiștea, județul Vâlcea”</w:t>
      </w:r>
      <w:r>
        <w:rPr>
          <w:color w:val="000000"/>
          <w:sz w:val="28"/>
          <w:szCs w:val="28"/>
        </w:rPr>
        <w:t>, înregistrat sub nr. 5.550/02.09.2021;</w:t>
      </w:r>
    </w:p>
    <w:p>
      <w:pPr>
        <w:pStyle w:val="85"/>
        <w:spacing w:before="0" w:beforeAutospacing="0" w:after="0" w:afterAutospacing="0"/>
        <w:jc w:val="both"/>
        <w:rPr>
          <w:color w:val="000000"/>
          <w:sz w:val="28"/>
          <w:szCs w:val="28"/>
        </w:rPr>
      </w:pPr>
      <w:r>
        <w:rPr>
          <w:color w:val="000000"/>
          <w:sz w:val="28"/>
          <w:szCs w:val="28"/>
        </w:rPr>
        <w:t xml:space="preserve">       Având în vedere rapoartele de avizare ale comisiilor de specialitate din cadrul Consiliului Local Grădiștea, prin care se propune admiterea proiectului de hotărâre;</w:t>
      </w:r>
    </w:p>
    <w:p>
      <w:pPr>
        <w:pStyle w:val="249"/>
        <w:jc w:val="both"/>
        <w:rPr>
          <w:color w:val="000000"/>
          <w:sz w:val="28"/>
          <w:szCs w:val="28"/>
        </w:rPr>
      </w:pPr>
      <w:r>
        <w:rPr>
          <w:color w:val="000000"/>
          <w:sz w:val="28"/>
          <w:szCs w:val="28"/>
        </w:rPr>
        <w:t xml:space="preserve">       Văzând raportul de avizare a legalităţii proiectului de hotărâre, întocmit de secretarul Comunei Grădiștea, înregistrat sub nr. 5.551/02.09.2021;</w:t>
      </w:r>
    </w:p>
    <w:p>
      <w:pPr>
        <w:pStyle w:val="249"/>
        <w:jc w:val="both"/>
        <w:rPr>
          <w:color w:val="000000"/>
          <w:sz w:val="28"/>
          <w:szCs w:val="28"/>
        </w:rPr>
      </w:pPr>
      <w:r>
        <w:rPr>
          <w:color w:val="000000"/>
          <w:sz w:val="28"/>
          <w:szCs w:val="28"/>
        </w:rPr>
        <w:t xml:space="preserve">        </w:t>
      </w:r>
      <w:r>
        <w:rPr>
          <w:sz w:val="28"/>
          <w:szCs w:val="28"/>
          <w:lang w:eastAsia="ro-RO"/>
        </w:rPr>
        <w:t xml:space="preserve">Văzând că a fost respectată procedura transparenței decizionale din Legea nr. 52/2003 - privind </w:t>
      </w:r>
      <w:r>
        <w:rPr>
          <w:bCs/>
          <w:sz w:val="28"/>
          <w:szCs w:val="28"/>
          <w:lang w:eastAsia="ro-RO"/>
        </w:rPr>
        <w:t xml:space="preserve">transparența decizională în administrația publică, în baza anunțului </w:t>
      </w:r>
      <w:r>
        <w:rPr>
          <w:rFonts w:eastAsiaTheme="minorHAnsi"/>
          <w:sz w:val="28"/>
          <w:szCs w:val="28"/>
        </w:rPr>
        <w:t xml:space="preserve">referitor la elaborarea proiectului de Hotărâre </w:t>
      </w:r>
      <w:r>
        <w:rPr>
          <w:bCs/>
          <w:sz w:val="28"/>
          <w:szCs w:val="28"/>
          <w:lang w:eastAsia="ro-RO"/>
        </w:rPr>
        <w:t>.</w:t>
      </w:r>
    </w:p>
    <w:p>
      <w:pPr>
        <w:pStyle w:val="85"/>
        <w:spacing w:before="0" w:beforeAutospacing="0" w:after="0" w:afterAutospacing="0"/>
        <w:jc w:val="both"/>
        <w:rPr>
          <w:sz w:val="28"/>
          <w:szCs w:val="28"/>
        </w:rPr>
      </w:pPr>
      <w:r>
        <w:rPr>
          <w:color w:val="000000"/>
          <w:sz w:val="28"/>
          <w:szCs w:val="28"/>
        </w:rPr>
        <w:t xml:space="preserve">        </w:t>
      </w:r>
      <w:r>
        <w:rPr>
          <w:sz w:val="28"/>
          <w:szCs w:val="28"/>
        </w:rPr>
        <w:t xml:space="preserve">În conformitate cu prevederile art. 44 din Legea nr. 273/2006-Legea finatelor publice locale, cu modificările si completările ulterioare, precum si cu prevederile art. 129 alin. 2,lit.(b) și alin.4,lit.(d) din O.U.G. nr.57/2019 privind Codul Administrativ,cu modificările și completările ulterioare, coroborate cu prevederile Hotărârii Guvernului nr. 907/2016 privind etapele de elaborare și conținutul-cadru al documentațiilor tehnico-economice aferente obiectivelor/proiectelor de investiții finanțate din fonduri publice,cu modificările și completările ulterioare; </w:t>
      </w:r>
    </w:p>
    <w:p>
      <w:pPr>
        <w:pStyle w:val="85"/>
        <w:spacing w:before="0" w:beforeAutospacing="0" w:after="0" w:afterAutospacing="0"/>
        <w:jc w:val="both"/>
        <w:rPr>
          <w:color w:val="000000"/>
          <w:sz w:val="28"/>
          <w:szCs w:val="28"/>
        </w:rPr>
      </w:pPr>
      <w:r>
        <w:rPr>
          <w:sz w:val="28"/>
          <w:szCs w:val="28"/>
        </w:rPr>
        <w:t xml:space="preserve">        În baza art.139, alin.3, lit.(a) şi art.196.alin.1,lit.(a) din O.U.G. nr.57/2019 privind Codul administrativ,cu modificările și completările</w:t>
      </w:r>
      <w:r>
        <w:rPr>
          <w:color w:val="000000"/>
          <w:sz w:val="28"/>
          <w:szCs w:val="28"/>
        </w:rPr>
        <w:t>, Consiliul Local al Comunei Grădiștea, adoptă cu un număr de</w:t>
      </w:r>
      <w:r>
        <w:rPr>
          <w:b/>
          <w:color w:val="000000"/>
          <w:sz w:val="28"/>
          <w:szCs w:val="28"/>
        </w:rPr>
        <w:t xml:space="preserve"> __ </w:t>
      </w:r>
      <w:r>
        <w:rPr>
          <w:color w:val="000000"/>
          <w:sz w:val="28"/>
          <w:szCs w:val="28"/>
        </w:rPr>
        <w:t>voturi «pentru », cu un număr de __voturi «împotrivă »,  cu un număr de __voturi «abțineri»,  următoarea :</w:t>
      </w:r>
    </w:p>
    <w:p>
      <w:pPr>
        <w:pStyle w:val="85"/>
        <w:spacing w:before="0" w:beforeAutospacing="0" w:after="0" w:afterAutospacing="0"/>
        <w:jc w:val="center"/>
        <w:rPr>
          <w:b/>
          <w:color w:val="000000"/>
          <w:sz w:val="28"/>
          <w:szCs w:val="28"/>
        </w:rPr>
      </w:pPr>
    </w:p>
    <w:p>
      <w:pPr>
        <w:pStyle w:val="85"/>
        <w:spacing w:before="0" w:beforeAutospacing="0" w:after="0" w:afterAutospacing="0"/>
        <w:jc w:val="center"/>
        <w:rPr>
          <w:b/>
          <w:color w:val="000000"/>
          <w:sz w:val="28"/>
          <w:szCs w:val="28"/>
        </w:rPr>
      </w:pPr>
      <w:r>
        <w:rPr>
          <w:b/>
          <w:color w:val="000000"/>
          <w:sz w:val="28"/>
          <w:szCs w:val="28"/>
        </w:rPr>
        <w:t>H O T Ă R Â R E</w:t>
      </w:r>
    </w:p>
    <w:p>
      <w:pPr>
        <w:pStyle w:val="85"/>
        <w:spacing w:before="0" w:beforeAutospacing="0" w:after="0" w:afterAutospacing="0"/>
        <w:jc w:val="both"/>
        <w:rPr>
          <w:b/>
          <w:color w:val="000000"/>
          <w:sz w:val="28"/>
          <w:szCs w:val="28"/>
        </w:rPr>
      </w:pPr>
      <w:r>
        <w:rPr>
          <w:b/>
          <w:color w:val="000000"/>
          <w:sz w:val="28"/>
          <w:szCs w:val="28"/>
        </w:rPr>
        <w:t xml:space="preserve">        </w:t>
      </w:r>
      <w:r>
        <w:rPr>
          <w:b/>
          <w:sz w:val="28"/>
          <w:szCs w:val="28"/>
        </w:rPr>
        <w:t>Art.1.</w:t>
      </w:r>
      <w:r>
        <w:rPr>
          <w:sz w:val="28"/>
          <w:szCs w:val="28"/>
          <w:lang w:val="fr-FR"/>
        </w:rPr>
        <w:t xml:space="preserve"> Se aprobă </w:t>
      </w:r>
      <w:r>
        <w:rPr>
          <w:sz w:val="28"/>
          <w:szCs w:val="28"/>
          <w:lang w:val="fr-FR" w:eastAsia="ro-RO"/>
        </w:rPr>
        <w:t xml:space="preserve">Proiectulul tehnic, </w:t>
      </w:r>
      <w:r>
        <w:rPr>
          <w:sz w:val="28"/>
          <w:szCs w:val="28"/>
        </w:rPr>
        <w:t>indicatorii tehnico-economici și devizul general, pentru obiectivul de investiții: “Asfaltare drumuri de interes local în comuna Grădiștea, județul Vâlcea”</w:t>
      </w:r>
      <w:r>
        <w:rPr>
          <w:bCs/>
          <w:sz w:val="28"/>
          <w:szCs w:val="28"/>
          <w:lang w:val="it-IT"/>
        </w:rPr>
        <w:t xml:space="preserve">, </w:t>
      </w:r>
      <w:r>
        <w:rPr>
          <w:sz w:val="28"/>
          <w:szCs w:val="28"/>
          <w:lang w:val="it-IT"/>
        </w:rPr>
        <w:t xml:space="preserve">conform documentației  tehnice elaborată  de  S.C. RIONVIL S.R.L., prezentată în </w:t>
      </w:r>
      <w:r>
        <w:rPr>
          <w:bCs/>
          <w:sz w:val="28"/>
          <w:szCs w:val="28"/>
          <w:lang w:val="it-IT"/>
        </w:rPr>
        <w:t>anexa nr.1</w:t>
      </w:r>
      <w:r>
        <w:rPr>
          <w:sz w:val="28"/>
          <w:szCs w:val="28"/>
          <w:lang w:val="it-IT"/>
        </w:rPr>
        <w:t>, parte integranta din prezenta hotărâre, după cum urmează :</w:t>
      </w:r>
    </w:p>
    <w:p>
      <w:pPr>
        <w:autoSpaceDE w:val="0"/>
        <w:autoSpaceDN w:val="0"/>
        <w:adjustRightInd w:val="0"/>
        <w:spacing w:after="0" w:line="240" w:lineRule="auto"/>
        <w:jc w:val="both"/>
        <w:rPr>
          <w:rFonts w:ascii="Times New Roman" w:hAnsi="Times New Roman" w:cs="Times New Roman"/>
          <w:bCs/>
          <w:sz w:val="28"/>
          <w:szCs w:val="28"/>
          <w:lang w:val="it-IT"/>
        </w:rPr>
      </w:pPr>
    </w:p>
    <w:p>
      <w:pPr>
        <w:pStyle w:val="250"/>
        <w:autoSpaceDE w:val="0"/>
        <w:spacing w:after="0" w:line="240" w:lineRule="auto"/>
        <w:ind w:left="1440"/>
        <w:jc w:val="both"/>
        <w:rPr>
          <w:rFonts w:ascii="Times New Roman" w:hAnsi="Times New Roman" w:cs="Times New Roman"/>
          <w:sz w:val="28"/>
          <w:szCs w:val="28"/>
        </w:rPr>
      </w:pPr>
      <w:r>
        <w:rPr>
          <w:rFonts w:ascii="Times New Roman" w:hAnsi="Times New Roman" w:cs="Times New Roman"/>
          <w:b/>
          <w:bCs/>
          <w:sz w:val="28"/>
          <w:szCs w:val="28"/>
        </w:rPr>
        <w:t xml:space="preserve">a.VALOARE TOTALĂ </w:t>
      </w:r>
      <w:r>
        <w:rPr>
          <w:rFonts w:ascii="Times New Roman" w:hAnsi="Times New Roman" w:cs="Times New Roman"/>
          <w:sz w:val="28"/>
          <w:szCs w:val="28"/>
        </w:rPr>
        <w:t xml:space="preserve">:   </w:t>
      </w:r>
      <w:r>
        <w:rPr>
          <w:rFonts w:ascii="Times New Roman" w:hAnsi="Times New Roman" w:cs="Times New Roman"/>
          <w:b/>
          <w:bCs/>
          <w:sz w:val="28"/>
          <w:szCs w:val="28"/>
        </w:rPr>
        <w:t xml:space="preserve">  5,494,546.04 lei   cu </w:t>
      </w:r>
      <w:r>
        <w:rPr>
          <w:rFonts w:ascii="Times New Roman" w:hAnsi="Times New Roman" w:cs="Times New Roman"/>
          <w:sz w:val="28"/>
          <w:szCs w:val="28"/>
        </w:rPr>
        <w:t xml:space="preserve"> </w:t>
      </w:r>
      <w:r>
        <w:rPr>
          <w:rFonts w:ascii="Times New Roman" w:hAnsi="Times New Roman" w:cs="Times New Roman"/>
          <w:b/>
          <w:sz w:val="28"/>
          <w:szCs w:val="28"/>
        </w:rPr>
        <w:t>TVA</w:t>
      </w:r>
      <w:r>
        <w:rPr>
          <w:rFonts w:ascii="Times New Roman" w:hAnsi="Times New Roman" w:cs="Times New Roman"/>
          <w:sz w:val="28"/>
          <w:szCs w:val="28"/>
        </w:rPr>
        <w:t xml:space="preserve">; </w:t>
      </w:r>
    </w:p>
    <w:p>
      <w:pPr>
        <w:pStyle w:val="250"/>
        <w:autoSpaceDE w:val="0"/>
        <w:spacing w:after="0" w:line="240" w:lineRule="auto"/>
        <w:ind w:left="1440"/>
        <w:jc w:val="both"/>
        <w:rPr>
          <w:rFonts w:ascii="Times New Roman" w:hAnsi="Times New Roman" w:cs="Times New Roman"/>
          <w:sz w:val="28"/>
          <w:szCs w:val="28"/>
        </w:rPr>
      </w:pPr>
      <w:r>
        <w:rPr>
          <w:rFonts w:ascii="Times New Roman" w:hAnsi="Times New Roman" w:cs="Times New Roman"/>
          <w:b/>
          <w:bCs/>
          <w:sz w:val="28"/>
          <w:szCs w:val="28"/>
        </w:rPr>
        <w:t xml:space="preserve">                                                4,624,289.74 lei fara TVA</w:t>
      </w:r>
      <w:r>
        <w:rPr>
          <w:rFonts w:ascii="Times New Roman" w:hAnsi="Times New Roman" w:cs="Times New Roman"/>
          <w:sz w:val="28"/>
          <w:szCs w:val="28"/>
        </w:rPr>
        <w:t>;</w:t>
      </w:r>
    </w:p>
    <w:p>
      <w:pPr>
        <w:autoSpaceDE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din care : - Valoarea lucrărilor ( C+M</w:t>
      </w:r>
      <w:r>
        <w:rPr>
          <w:rFonts w:ascii="Times New Roman" w:hAnsi="Times New Roman" w:cs="Times New Roman"/>
          <w:b/>
          <w:bCs/>
          <w:sz w:val="28"/>
          <w:szCs w:val="28"/>
        </w:rPr>
        <w:t xml:space="preserve"> ) :4,759,290.96 lei</w:t>
      </w:r>
      <w:r>
        <w:rPr>
          <w:rFonts w:ascii="Times New Roman" w:hAnsi="Times New Roman" w:cs="Times New Roman"/>
          <w:sz w:val="28"/>
          <w:szCs w:val="28"/>
        </w:rPr>
        <w:t xml:space="preserve"> </w:t>
      </w:r>
      <w:r>
        <w:rPr>
          <w:rFonts w:ascii="Times New Roman" w:hAnsi="Times New Roman" w:cs="Times New Roman"/>
          <w:b/>
          <w:sz w:val="28"/>
          <w:szCs w:val="28"/>
        </w:rPr>
        <w:t xml:space="preserve"> cu TVA</w:t>
      </w:r>
      <w:r>
        <w:rPr>
          <w:rFonts w:ascii="Times New Roman" w:hAnsi="Times New Roman" w:cs="Times New Roman"/>
          <w:sz w:val="28"/>
          <w:szCs w:val="28"/>
        </w:rPr>
        <w:t>;</w:t>
      </w:r>
    </w:p>
    <w:p>
      <w:pPr>
        <w:autoSpaceDE w:val="0"/>
        <w:spacing w:after="0" w:line="240" w:lineRule="auto"/>
        <w:ind w:left="360"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3,999,404.17</w:t>
      </w:r>
      <w:r>
        <w:rPr>
          <w:rFonts w:ascii="Times New Roman" w:hAnsi="Times New Roman" w:cs="Times New Roman"/>
          <w:sz w:val="28"/>
          <w:szCs w:val="28"/>
        </w:rPr>
        <w:t xml:space="preserve"> </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lei fara TVA;</w:t>
      </w:r>
    </w:p>
    <w:p>
      <w:pPr>
        <w:autoSpaceDE w:val="0"/>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Art.2. </w:t>
      </w:r>
      <w:r>
        <w:rPr>
          <w:rFonts w:ascii="Times New Roman" w:hAnsi="Times New Roman" w:cs="Times New Roman"/>
          <w:sz w:val="28"/>
          <w:szCs w:val="28"/>
        </w:rPr>
        <w:t xml:space="preserve">Finanțarea obiectivului de investiții prevăzut la art.1 se face din bugetul local al comunei Grădiștea, județul Vâlcea,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Art.3.</w:t>
      </w:r>
      <w:r>
        <w:rPr>
          <w:rFonts w:ascii="Times New Roman" w:hAnsi="Times New Roman" w:cs="Times New Roman"/>
          <w:sz w:val="28"/>
          <w:szCs w:val="28"/>
        </w:rPr>
        <w:t xml:space="preserve">  Primarul comunei Grădiștea, va aduce la îndeplinire prezenta hotărâre prin intermediul Biroului contabilitate si achizitii publice, iar secretarul general al comunei va asigura comunicarea acesteia Instituţiei Prefectului Judeţului Vâlcea în vederea exercitării controlului de legalitate, primarului comunei, compartimentului responsabil cu punerea în executare şi aducerea la cunoştinţă publică prin afişare la sediul Consiliului Local și pe pagina de internet </w:t>
      </w:r>
      <w:r>
        <w:fldChar w:fldCharType="begin"/>
      </w:r>
      <w:r>
        <w:instrText xml:space="preserve"> HYPERLINK "http://www.primariagradisteavalcearo" </w:instrText>
      </w:r>
      <w:r>
        <w:fldChar w:fldCharType="separate"/>
      </w:r>
      <w:r>
        <w:rPr>
          <w:rStyle w:val="51"/>
          <w:rFonts w:ascii="Times New Roman" w:hAnsi="Times New Roman" w:cs="Times New Roman"/>
          <w:sz w:val="28"/>
          <w:szCs w:val="28"/>
        </w:rPr>
        <w:t>www.primariagradisteavalcearo</w:t>
      </w:r>
      <w:r>
        <w:rPr>
          <w:rStyle w:val="51"/>
          <w:rFonts w:ascii="Times New Roman" w:hAnsi="Times New Roman" w:cs="Times New Roman"/>
          <w:sz w:val="28"/>
          <w:szCs w:val="28"/>
        </w:rPr>
        <w:fldChar w:fldCharType="end"/>
      </w:r>
      <w:r>
        <w:rPr>
          <w:rFonts w:ascii="Times New Roman" w:hAnsi="Times New Roman" w:cs="Times New Roman"/>
          <w:sz w:val="28"/>
          <w:szCs w:val="28"/>
        </w:rPr>
        <w:t>.</w:t>
      </w:r>
    </w:p>
    <w:p>
      <w:pPr>
        <w:spacing w:after="0" w:line="240" w:lineRule="auto"/>
        <w:jc w:val="both"/>
      </w:pPr>
    </w:p>
    <w:p>
      <w:pPr>
        <w:spacing w:after="0" w:line="240" w:lineRule="auto"/>
        <w:rPr>
          <w:rFonts w:ascii="Times New Roman" w:hAnsi="Times New Roman" w:cs="Times New Roman" w:eastAsiaTheme="minorHAnsi"/>
          <w:sz w:val="28"/>
          <w:szCs w:val="28"/>
          <w:lang w:val="pt-BR"/>
        </w:rPr>
      </w:pPr>
      <w:r>
        <w:rPr>
          <w:rFonts w:ascii="Times New Roman" w:hAnsi="Times New Roman" w:cs="Times New Roman" w:eastAsiaTheme="minorHAnsi"/>
          <w:b/>
          <w:sz w:val="28"/>
          <w:szCs w:val="28"/>
          <w:lang w:val="pt-BR"/>
        </w:rPr>
        <w:t xml:space="preserve">  </w:t>
      </w:r>
    </w:p>
    <w:p>
      <w:pPr>
        <w:spacing w:after="0" w:line="240" w:lineRule="auto"/>
        <w:jc w:val="both"/>
        <w:rPr>
          <w:rFonts w:ascii="Times New Roman" w:hAnsi="Times New Roman" w:cs="Times New Roman"/>
          <w:bCs/>
          <w:iCs/>
          <w:color w:val="000000"/>
          <w:sz w:val="28"/>
          <w:szCs w:val="28"/>
          <w:lang w:val="fr-FR"/>
        </w:rPr>
      </w:pPr>
      <w:r>
        <w:rPr>
          <w:rFonts w:ascii="Times New Roman" w:hAnsi="Times New Roman" w:cs="Times New Roman"/>
          <w:bCs/>
          <w:iCs/>
          <w:color w:val="000000"/>
          <w:sz w:val="28"/>
          <w:szCs w:val="28"/>
          <w:lang w:val="fr-FR"/>
        </w:rPr>
        <w:t xml:space="preserve">INIȚIATOR PROIECT,                               VIZAT PENTRU LEGALITATE,              </w:t>
      </w:r>
    </w:p>
    <w:p>
      <w:pPr>
        <w:spacing w:after="0" w:line="240" w:lineRule="auto"/>
        <w:jc w:val="both"/>
        <w:rPr>
          <w:rFonts w:ascii="Times New Roman" w:hAnsi="Times New Roman" w:cs="Times New Roman"/>
          <w:b/>
          <w:sz w:val="28"/>
          <w:szCs w:val="28"/>
          <w:lang w:val="fr-FR"/>
        </w:rPr>
      </w:pPr>
      <w:r>
        <w:rPr>
          <w:rFonts w:ascii="Times New Roman" w:hAnsi="Times New Roman" w:cs="Times New Roman"/>
          <w:bCs/>
          <w:iCs/>
          <w:color w:val="000000"/>
          <w:sz w:val="28"/>
          <w:szCs w:val="28"/>
          <w:lang w:val="fr-FR"/>
        </w:rPr>
        <w:t xml:space="preserve">            </w:t>
      </w:r>
      <w:r>
        <w:rPr>
          <w:rFonts w:ascii="Times New Roman" w:hAnsi="Times New Roman" w:cs="Times New Roman"/>
          <w:b/>
          <w:sz w:val="28"/>
          <w:szCs w:val="28"/>
          <w:lang w:val="fr-FR"/>
        </w:rPr>
        <w:t>Primar,</w:t>
      </w:r>
      <w:r>
        <w:rPr>
          <w:rFonts w:ascii="Times New Roman" w:hAnsi="Times New Roman" w:cs="Times New Roman"/>
          <w:b/>
          <w:sz w:val="28"/>
          <w:szCs w:val="28"/>
          <w:lang w:val="fr-FR"/>
        </w:rPr>
        <w:tab/>
      </w:r>
      <w:r>
        <w:rPr>
          <w:rFonts w:ascii="Times New Roman" w:hAnsi="Times New Roman" w:cs="Times New Roman"/>
          <w:b/>
          <w:sz w:val="28"/>
          <w:szCs w:val="28"/>
          <w:lang w:val="fr-FR"/>
        </w:rPr>
        <w:t xml:space="preserve">                                       Secretar general UATC Gradistea,</w:t>
      </w:r>
    </w:p>
    <w:p>
      <w:pPr>
        <w:spacing w:after="0" w:line="240" w:lineRule="auto"/>
        <w:rPr>
          <w:rFonts w:ascii="Times New Roman" w:hAnsi="Times New Roman" w:cs="Times New Roman"/>
          <w:sz w:val="28"/>
          <w:szCs w:val="28"/>
          <w:lang w:val="fr-FR"/>
        </w:rPr>
      </w:pPr>
      <w:r>
        <w:rPr>
          <w:rFonts w:ascii="Times New Roman" w:hAnsi="Times New Roman" w:cs="Times New Roman"/>
          <w:i/>
          <w:sz w:val="28"/>
          <w:szCs w:val="28"/>
          <w:lang w:val="fr-FR"/>
        </w:rPr>
        <w:t xml:space="preserve"> inginer</w:t>
      </w:r>
      <w:r>
        <w:rPr>
          <w:rFonts w:ascii="Times New Roman" w:hAnsi="Times New Roman" w:cs="Times New Roman"/>
          <w:sz w:val="28"/>
          <w:szCs w:val="28"/>
          <w:lang w:val="fr-FR"/>
        </w:rPr>
        <w:t xml:space="preserve"> BOIANGIU Ilie                                   </w:t>
      </w:r>
      <w:r>
        <w:rPr>
          <w:rFonts w:ascii="Times New Roman" w:hAnsi="Times New Roman" w:cs="Times New Roman"/>
          <w:i/>
          <w:sz w:val="28"/>
          <w:szCs w:val="28"/>
          <w:lang w:val="fr-FR"/>
        </w:rPr>
        <w:t xml:space="preserve">jurist </w:t>
      </w:r>
      <w:r>
        <w:rPr>
          <w:rFonts w:ascii="Times New Roman" w:hAnsi="Times New Roman" w:cs="Times New Roman"/>
          <w:sz w:val="28"/>
          <w:szCs w:val="28"/>
          <w:lang w:val="fr-FR"/>
        </w:rPr>
        <w:t>COCOȘ-BARBU Milemtina</w:t>
      </w: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fr-FR"/>
        </w:rPr>
        <w:t>Grădiștea, 02 septembrie 2021</w:t>
      </w:r>
    </w:p>
    <w:p>
      <w:pPr>
        <w:spacing w:after="0" w:line="240" w:lineRule="auto"/>
        <w:rPr>
          <w:rFonts w:ascii="Times New Roman" w:hAnsi="Times New Roman" w:cs="Times New Roman"/>
          <w:sz w:val="24"/>
          <w:szCs w:val="24"/>
          <w:lang w:val="ro-RO" w:eastAsia="ro-RO"/>
        </w:rPr>
      </w:pPr>
    </w:p>
    <w:p/>
    <w:p/>
    <w:sectPr>
      <w:pgSz w:w="11906" w:h="16838"/>
      <w:pgMar w:top="1134" w:right="1440"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E565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DCF3494"/>
    <w:rsid w:val="56AE565F"/>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0"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basedOn w:val="1"/>
    <w:qFormat/>
    <w:uiPriority w:val="1"/>
    <w:pPr>
      <w:spacing w:after="0" w:line="240" w:lineRule="auto"/>
    </w:pPr>
    <w:rPr>
      <w:rFonts w:ascii="Times New Roman" w:hAnsi="Times New Roman" w:cs="Times New Roman"/>
      <w:sz w:val="24"/>
      <w:szCs w:val="24"/>
    </w:rPr>
  </w:style>
  <w:style w:type="paragraph" w:styleId="250">
    <w:name w:val="List Paragraph"/>
    <w:basedOn w:val="1"/>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2021-09-29T10:19:00Z</dcterms:created>
  <dc:creator>Liv</dc:creator>
  <cp:lastModifiedBy>Liv</cp:lastModifiedBy>
  <dcterms:modified xsi:type="dcterms:W3CDTF">2021-10-06T10:02:34Z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BF3F8629AFDA4D3DA80D21C420E84FF6</vt:lpwstr>
  </property>
</Properties>
</file>